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Toc62549812"/>
      <w:r/>
      <w:bookmarkStart w:id="1" w:name="_Toc66901435"/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  <w:rPr>
          <w:b/>
          <w:caps/>
        </w:rPr>
      </w:pPr>
      <w:r>
        <w:rPr>
          <w:b/>
          <w:caps/>
        </w:rPr>
      </w:r>
      <w:r/>
    </w:p>
    <w:p>
      <w:pPr>
        <w:jc w:val="center"/>
      </w:pPr>
      <w:r/>
      <w:r/>
    </w:p>
    <w:p>
      <w:pPr>
        <w:jc w:val="center"/>
      </w:pPr>
      <w:r/>
      <w:r/>
    </w:p>
    <w:p>
      <w:r/>
      <w:r/>
    </w:p>
    <w:p>
      <w:r/>
      <w:r/>
    </w:p>
    <w:p>
      <w:pPr>
        <w:jc w:val="center"/>
        <w:rPr>
          <w:b/>
          <w:caps/>
          <w:sz w:val="32"/>
        </w:rPr>
      </w:pPr>
      <w:r>
        <w:rPr>
          <w:b/>
          <w:caps/>
          <w:sz w:val="32"/>
        </w:rPr>
        <w:t xml:space="preserve">Руководство пользователя </w:t>
      </w:r>
      <w:r/>
    </w:p>
    <w:p>
      <w:pPr>
        <w:jc w:val="center"/>
        <w:rPr>
          <w:b/>
          <w:caps/>
          <w:sz w:val="32"/>
        </w:rPr>
      </w:pPr>
      <w:r>
        <w:rPr>
          <w:b/>
          <w:caps/>
          <w:sz w:val="32"/>
        </w:rPr>
      </w:r>
      <w:r/>
    </w:p>
    <w:p>
      <w:pPr>
        <w:jc w:val="center"/>
      </w:pPr>
      <w:r>
        <w:rPr>
          <w:caps/>
        </w:rPr>
        <w:t xml:space="preserve">(для </w:t>
      </w:r>
      <w:r>
        <w:rPr>
          <w:caps/>
        </w:rPr>
        <w:t xml:space="preserve">роли «Только ГИС ГМП</w:t>
      </w:r>
      <w:r>
        <w:t xml:space="preserve">», «ГИС ГМП АДМИНИСТРАТОР НАЧИСЛЕНИЙ», «ГИС ГМП АДМИНИСТРАТОР ПЛАТЕЖЕЙ»</w:t>
      </w:r>
      <w:r>
        <w:rPr>
          <w:caps/>
        </w:rPr>
        <w:t xml:space="preserve">)</w:t>
      </w:r>
      <w:r/>
    </w:p>
    <w:p>
      <w:r/>
      <w:r/>
    </w:p>
    <w:p>
      <w:r/>
      <w:r/>
    </w:p>
    <w:p>
      <w:pPr>
        <w:jc w:val="center"/>
        <w:rPr>
          <w:b/>
        </w:rPr>
      </w:pPr>
      <w:r>
        <w:rPr>
          <w:b/>
        </w:rPr>
        <w:t xml:space="preserve">На</w:t>
      </w:r>
      <w:r>
        <w:rPr>
          <w:b/>
        </w:rPr>
        <w:t xml:space="preserve"> 38 </w:t>
      </w:r>
      <w:r>
        <w:rPr>
          <w:b/>
        </w:rPr>
        <w:t xml:space="preserve">листах</w: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sz w:val="32"/>
        </w:rPr>
      </w:pPr>
      <w:r>
        <w:rPr>
          <w:sz w:val="32"/>
        </w:rPr>
      </w:r>
      <w:r/>
    </w:p>
    <w:p>
      <w:pPr>
        <w:jc w:val="center"/>
        <w:rPr>
          <w:b/>
          <w:caps/>
          <w:sz w:val="32"/>
        </w:rPr>
      </w:pPr>
      <w:r>
        <w:rPr>
          <w:b/>
          <w:caps/>
          <w:sz w:val="32"/>
        </w:rPr>
      </w:r>
      <w:r/>
    </w:p>
    <w:p>
      <w:r/>
      <w:r/>
    </w:p>
    <w:p>
      <w:r/>
      <w:r/>
    </w:p>
    <w:p>
      <w:r/>
      <w:r/>
    </w:p>
    <w:p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  <w:rPr>
          <w:b/>
        </w:rPr>
      </w:pPr>
      <w:r>
        <w:rPr>
          <w:b/>
        </w:rPr>
        <w:t xml:space="preserve">Кемерово, 2021 г.</w:t>
      </w:r>
      <w:r/>
    </w:p>
    <w:p>
      <w:pPr>
        <w:spacing w:line="480" w:lineRule="auto"/>
      </w:pPr>
      <w:r/>
      <w:r/>
    </w:p>
    <w:p>
      <w:pPr>
        <w:jc w:val="left"/>
        <w:spacing w:after="160" w:line="259" w:lineRule="auto"/>
      </w:pPr>
      <w:r>
        <w:br w:type="page" w:clear="all"/>
      </w:r>
      <w:r/>
    </w:p>
    <w:sdt>
      <w:sdtPr>
        <w15:appearance w15:val="boundingBox"/>
        <w:id w:val="-325433581"/>
        <w:docPartObj>
          <w:docPartGallery w:val="Table of Contents"/>
          <w:docPartUnique w:val="true"/>
        </w:docPartObj>
        <w:rPr>
          <w:rFonts w:ascii="Times New Roman" w:hAnsi="Times New Roman" w:eastAsia="Times New Roman" w:cs="Times New Roman"/>
          <w:color w:val="auto"/>
          <w:sz w:val="24"/>
          <w:szCs w:val="24"/>
        </w:rPr>
      </w:sdtPr>
      <w:sdtContent>
        <w:p>
          <w:pPr>
            <w:pStyle w:val="736"/>
            <w:spacing w:line="48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 xml:space="preserve">СОДЕРЖАНИЕ</w:t>
          </w:r>
          <w:r/>
        </w:p>
        <w:p>
          <w:pPr>
            <w:pStyle w:val="737"/>
            <w:tabs>
              <w:tab w:val="left" w:pos="480" w:leader="none"/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69295828" w:anchor="_Toc69295828" w:history="1">
            <w:r>
              <w:rPr>
                <w:rStyle w:val="740"/>
              </w:rPr>
              <w:t xml:space="preserve">1</w:t>
            </w:r>
            <w:r>
              <w:rPr>
                <w:rFonts w:asciiTheme="minorHAnsi" w:hAnsiTheme="minorHAnsi" w:eastAsiaTheme="minorEastAsia" w:cstheme="minorBidi"/>
                <w:sz w:val="22"/>
                <w:szCs w:val="22"/>
              </w:rPr>
              <w:tab/>
            </w:r>
            <w:r>
              <w:rPr>
                <w:rStyle w:val="740"/>
              </w:rPr>
              <w:t xml:space="preserve">ГИС ГМП</w:t>
            </w:r>
            <w:r>
              <w:tab/>
            </w:r>
            <w:r>
              <w:fldChar w:fldCharType="begin"/>
            </w:r>
            <w:r>
              <w:instrText xml:space="preserve"> PAGEREF _Toc69295828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/>
        </w:p>
        <w:p>
          <w:pPr>
            <w:pStyle w:val="738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29" w:anchor="_Toc69295829" w:history="1">
            <w:r>
              <w:rPr>
                <w:rStyle w:val="740"/>
              </w:rPr>
              <w:t xml:space="preserve">1.1 Работа с начислениями</w:t>
            </w:r>
            <w:r>
              <w:tab/>
            </w:r>
            <w:r>
              <w:fldChar w:fldCharType="begin"/>
            </w:r>
            <w:r>
              <w:instrText xml:space="preserve"> PAGEREF _Toc69295829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0" w:anchor="_Toc69295830" w:history="1">
            <w:r>
              <w:rPr>
                <w:rStyle w:val="740"/>
              </w:rPr>
              <w:t xml:space="preserve">1.1.1 Описание подраздела</w:t>
            </w:r>
            <w:r>
              <w:tab/>
            </w:r>
            <w:r>
              <w:fldChar w:fldCharType="begin"/>
            </w:r>
            <w:r>
              <w:instrText xml:space="preserve"> PAGEREF _Toc69295830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1" w:anchor="_Toc69295831" w:history="1">
            <w:r>
              <w:rPr>
                <w:rStyle w:val="740"/>
              </w:rPr>
              <w:t xml:space="preserve">1.1.2 Создание и отправка начисления</w:t>
            </w:r>
            <w:r>
              <w:tab/>
            </w:r>
            <w:r>
              <w:fldChar w:fldCharType="begin"/>
            </w:r>
            <w:r>
              <w:instrText xml:space="preserve"> PAGEREF _Toc69295831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2" w:anchor="_Toc69295832" w:history="1">
            <w:r>
              <w:rPr>
                <w:rStyle w:val="740"/>
              </w:rPr>
              <w:t xml:space="preserve">1.1.3 Дублирование начислений</w:t>
            </w:r>
            <w:r>
              <w:tab/>
            </w:r>
            <w:r>
              <w:fldChar w:fldCharType="begin"/>
            </w:r>
            <w:r>
              <w:instrText xml:space="preserve"> PAGEREF _Toc69295832 \h </w:instrText>
            </w:r>
            <w:r/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3" w:anchor="_Toc69295833" w:history="1">
            <w:r>
              <w:rPr>
                <w:rStyle w:val="740"/>
              </w:rPr>
              <w:t xml:space="preserve">1.1.4 Проверка и квитирование начислений</w:t>
            </w:r>
            <w:r>
              <w:tab/>
            </w:r>
            <w:r>
              <w:fldChar w:fldCharType="begin"/>
            </w:r>
            <w:r>
              <w:instrText xml:space="preserve"> PAGEREF _Toc69295833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4" w:anchor="_Toc69295834" w:history="1">
            <w:r>
              <w:rPr>
                <w:rStyle w:val="740"/>
              </w:rPr>
              <w:t xml:space="preserve">1.1.5 Аннулирование и деаннулирование начислений</w:t>
            </w:r>
            <w:r>
              <w:tab/>
            </w:r>
            <w:r>
              <w:fldChar w:fldCharType="begin"/>
            </w:r>
            <w:r>
              <w:instrText xml:space="preserve"> PAGEREF _Toc69295834 \h </w:instrText>
            </w:r>
            <w:r/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/>
          <w:r/>
        </w:p>
        <w:p>
          <w:pPr>
            <w:pStyle w:val="738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5" w:anchor="_Toc69295835" w:history="1">
            <w:r>
              <w:rPr>
                <w:rStyle w:val="740"/>
              </w:rPr>
              <w:t xml:space="preserve">1.2 Работа с платежами. ГИС ГМП Администратор начислений</w:t>
            </w:r>
            <w:r>
              <w:tab/>
            </w:r>
            <w:r>
              <w:fldChar w:fldCharType="begin"/>
            </w:r>
            <w:r>
              <w:instrText xml:space="preserve"> PAGEREF _Toc69295835 \h </w:instrText>
            </w:r>
            <w:r/>
            <w:r>
              <w:fldChar w:fldCharType="separate"/>
            </w:r>
            <w:r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6" w:anchor="_Toc69295836" w:history="1">
            <w:r>
              <w:rPr>
                <w:rStyle w:val="740"/>
              </w:rPr>
              <w:t xml:space="preserve">1.2.1 Описание раздела</w:t>
            </w:r>
            <w:r>
              <w:tab/>
            </w:r>
            <w:r>
              <w:fldChar w:fldCharType="begin"/>
            </w:r>
            <w:r>
              <w:instrText xml:space="preserve"> PAGEREF _Toc69295836 \h </w:instrText>
            </w:r>
            <w:r/>
            <w:r>
              <w:fldChar w:fldCharType="separate"/>
            </w:r>
            <w:r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7" w:anchor="_Toc69295837" w:history="1">
            <w:r>
              <w:rPr>
                <w:rStyle w:val="740"/>
              </w:rPr>
              <w:t xml:space="preserve">1.2.2 Просмотр платежей</w:t>
            </w:r>
            <w:r>
              <w:tab/>
            </w:r>
            <w:r>
              <w:fldChar w:fldCharType="begin"/>
            </w:r>
            <w:r>
              <w:instrText xml:space="preserve"> PAGEREF _Toc69295837 \h </w:instrText>
            </w:r>
            <w:r/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8" w:anchor="_Toc69295838" w:history="1">
            <w:r>
              <w:rPr>
                <w:rStyle w:val="740"/>
              </w:rPr>
              <w:t xml:space="preserve">1.2.3 Квитирование платежей</w:t>
            </w:r>
            <w:r>
              <w:tab/>
            </w:r>
            <w:r>
              <w:fldChar w:fldCharType="begin"/>
            </w:r>
            <w:r>
              <w:instrText xml:space="preserve"> PAGEREF _Toc69295838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738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39" w:anchor="_Toc69295839" w:history="1">
            <w:r>
              <w:rPr>
                <w:rStyle w:val="740"/>
              </w:rPr>
              <w:t xml:space="preserve">1.3 Работа с платежами. ГИС ГМП Администратор платежей</w:t>
            </w:r>
            <w:r>
              <w:tab/>
            </w:r>
            <w:r>
              <w:fldChar w:fldCharType="begin"/>
            </w:r>
            <w:r>
              <w:instrText xml:space="preserve"> PAGEREF _Toc69295839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41" w:anchor="_Toc69295841" w:history="1">
            <w:r>
              <w:rPr>
                <w:rStyle w:val="740"/>
              </w:rPr>
              <w:t xml:space="preserve">1.3.1 Описание подраздела</w:t>
            </w:r>
            <w:r>
              <w:tab/>
            </w:r>
            <w:r>
              <w:fldChar w:fldCharType="begin"/>
            </w:r>
            <w:r>
              <w:instrText xml:space="preserve"> PAGEREF _Toc69295841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42" w:anchor="_Toc69295842" w:history="1">
            <w:r>
              <w:rPr>
                <w:rStyle w:val="740"/>
              </w:rPr>
              <w:t xml:space="preserve">1.3.2 Создание и отправка платежа</w:t>
            </w:r>
            <w:r>
              <w:tab/>
            </w:r>
            <w:r>
              <w:fldChar w:fldCharType="begin"/>
            </w:r>
            <w:r>
              <w:instrText xml:space="preserve"> PAGEREF _Toc69295842 \h </w:instrText>
            </w:r>
            <w:r/>
            <w:r>
              <w:fldChar w:fldCharType="separate"/>
            </w:r>
            <w:r>
              <w:t xml:space="preserve">23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43" w:anchor="_Toc69295843" w:history="1">
            <w:r>
              <w:rPr>
                <w:rStyle w:val="740"/>
              </w:rPr>
              <w:t xml:space="preserve">1.3.3 Дублирование платежей</w:t>
            </w:r>
            <w:r>
              <w:tab/>
            </w:r>
            <w:r>
              <w:fldChar w:fldCharType="begin"/>
            </w:r>
            <w:r>
              <w:instrText xml:space="preserve"> PAGEREF _Toc69295843 \h </w:instrText>
            </w:r>
            <w:r/>
            <w:r>
              <w:fldChar w:fldCharType="separate"/>
            </w:r>
            <w:r>
              <w:t xml:space="preserve">28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2" w:anchor="_Toc69295852" w:history="1">
            <w:r>
              <w:rPr>
                <w:rStyle w:val="740"/>
              </w:rPr>
              <w:t xml:space="preserve">1.3.4 Аннулирование и деаннулирование платежей</w:t>
            </w:r>
            <w:r>
              <w:tab/>
            </w:r>
            <w:r>
              <w:fldChar w:fldCharType="begin"/>
            </w:r>
            <w:r>
              <w:instrText xml:space="preserve"> PAGEREF _Toc69295852 \h </w:instrText>
            </w:r>
            <w:r/>
            <w:r>
              <w:fldChar w:fldCharType="separate"/>
            </w:r>
            <w:r>
              <w:t xml:space="preserve">28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3" w:anchor="_Toc69295853" w:history="1">
            <w:r>
              <w:rPr>
                <w:rStyle w:val="740"/>
              </w:rPr>
              <w:t xml:space="preserve">1.3.5 Работа с реестром платежей</w:t>
            </w:r>
            <w:r>
              <w:tab/>
            </w:r>
            <w:r>
              <w:fldChar w:fldCharType="begin"/>
            </w:r>
            <w:r>
              <w:instrText xml:space="preserve"> PAGEREF _Toc69295853 \h </w:instrText>
            </w:r>
            <w:r/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/>
          <w:r/>
        </w:p>
        <w:p>
          <w:pPr>
            <w:pStyle w:val="738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5" w:anchor="_Toc69295855" w:history="1">
            <w:r>
              <w:rPr>
                <w:rStyle w:val="740"/>
              </w:rPr>
              <w:t xml:space="preserve">1.4 Работа с возвратами</w:t>
            </w:r>
            <w:r>
              <w:tab/>
            </w:r>
            <w:r>
              <w:fldChar w:fldCharType="begin"/>
            </w:r>
            <w:r>
              <w:instrText xml:space="preserve"> PAGEREF _Toc69295855 \h </w:instrText>
            </w:r>
            <w:r/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6" w:anchor="_Toc69295856" w:history="1">
            <w:r>
              <w:rPr>
                <w:rStyle w:val="740"/>
              </w:rPr>
              <w:t xml:space="preserve">1.4.1 Описание подраздела</w:t>
            </w:r>
            <w:r>
              <w:tab/>
            </w:r>
            <w:r>
              <w:fldChar w:fldCharType="begin"/>
            </w:r>
            <w:r>
              <w:instrText xml:space="preserve"> PAGEREF _Toc69295856 \h </w:instrText>
            </w:r>
            <w:r/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7" w:anchor="_Toc69295857" w:history="1">
            <w:r>
              <w:rPr>
                <w:rStyle w:val="740"/>
              </w:rPr>
              <w:t xml:space="preserve">1.4.2 Создание и отправка возврата</w:t>
            </w:r>
            <w:r>
              <w:tab/>
            </w:r>
            <w:r>
              <w:fldChar w:fldCharType="begin"/>
            </w:r>
            <w:r>
              <w:instrText xml:space="preserve"> PAGEREF _Toc69295857 \h </w:instrText>
            </w:r>
            <w:r/>
            <w:r>
              <w:fldChar w:fldCharType="separate"/>
            </w:r>
            <w:r>
              <w:t xml:space="preserve">31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8" w:anchor="_Toc69295858" w:history="1">
            <w:r>
              <w:rPr>
                <w:rStyle w:val="740"/>
              </w:rPr>
              <w:t xml:space="preserve">1.4.3 Дублирование возвратов</w:t>
            </w:r>
            <w:r>
              <w:tab/>
            </w:r>
            <w:r>
              <w:fldChar w:fldCharType="begin"/>
            </w:r>
            <w:r>
              <w:instrText xml:space="preserve"> PAGEREF _Toc69295858 \h </w:instrText>
            </w:r>
            <w:r/>
            <w:r>
              <w:fldChar w:fldCharType="separate"/>
            </w:r>
            <w:r>
              <w:t xml:space="preserve">36</w:t>
            </w:r>
            <w:r>
              <w:fldChar w:fldCharType="end"/>
            </w:r>
          </w:hyperlink>
          <w:r/>
          <w:r/>
        </w:p>
        <w:p>
          <w:pPr>
            <w:pStyle w:val="739"/>
            <w:tabs>
              <w:tab w:val="right" w:pos="9679" w:leader="dot"/>
            </w:tabs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69295859" w:anchor="_Toc69295859" w:history="1">
            <w:r>
              <w:rPr>
                <w:rStyle w:val="740"/>
              </w:rPr>
              <w:t xml:space="preserve">1.4.4 Аннулирование и деаннулирование возвратов</w:t>
            </w:r>
            <w:r>
              <w:tab/>
            </w:r>
            <w:r>
              <w:fldChar w:fldCharType="begin"/>
            </w:r>
            <w:r>
              <w:instrText xml:space="preserve"> PAGEREF _Toc69295859 \h </w:instrText>
            </w:r>
            <w:r/>
            <w:r>
              <w:fldChar w:fldCharType="separate"/>
            </w:r>
            <w:r>
              <w:t xml:space="preserve">36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spacing w:line="480" w:lineRule="auto"/>
      </w:pPr>
      <w:r/>
      <w:r/>
    </w:p>
    <w:p>
      <w:pPr>
        <w:pStyle w:val="728"/>
        <w:ind w:left="0" w:firstLine="720"/>
        <w:spacing w:after="0" w:line="480" w:lineRule="auto"/>
      </w:pPr>
      <w:r/>
      <w:bookmarkStart w:id="2" w:name="_Toc69295828"/>
      <w:r>
        <w:t xml:space="preserve">ГИС ГМП</w:t>
      </w:r>
      <w:bookmarkEnd w:id="0"/>
      <w:r/>
      <w:bookmarkEnd w:id="1"/>
      <w:r/>
      <w:bookmarkEnd w:id="2"/>
      <w:r>
        <w:t xml:space="preserve"> </w:t>
      </w:r>
      <w:r/>
    </w:p>
    <w:p>
      <w:pPr>
        <w:pStyle w:val="724"/>
        <w:ind w:firstLine="720"/>
        <w:rPr>
          <w:rFonts w:ascii="Times New Roman" w:hAnsi="Times New Roman" w:cs="Times New Roman"/>
          <w:u w:val="single"/>
          <w:lang w:val="ru-RU"/>
        </w:rPr>
      </w:pPr>
      <w:r/>
      <w:bookmarkStart w:id="3" w:name="_Ref484693198"/>
      <w:r/>
      <w:bookmarkStart w:id="4" w:name="_Toc532294101"/>
      <w:r/>
      <w:bookmarkStart w:id="5" w:name="_Toc35589916"/>
      <w:r>
        <w:rPr>
          <w:rFonts w:ascii="Times New Roman" w:hAnsi="Times New Roman" w:cs="Times New Roman"/>
          <w:u w:val="single"/>
          <w:lang w:val="ru-RU"/>
        </w:rPr>
        <w:t xml:space="preserve">Раздел доступен пользователям, которым присвоены роли «ГИС ГМП Администратор начислений», «Только ГИС ГМП»</w:t>
      </w:r>
      <w:r>
        <w:rPr>
          <w:rFonts w:ascii="Times New Roman" w:hAnsi="Times New Roman" w:cs="Times New Roman"/>
          <w:u w:val="single"/>
          <w:lang w:val="ru-RU"/>
        </w:rPr>
        <w:t xml:space="preserve">, «</w:t>
      </w:r>
      <w:r>
        <w:rPr>
          <w:rFonts w:ascii="Times New Roman" w:hAnsi="Times New Roman" w:cs="Times New Roman"/>
          <w:u w:val="single"/>
          <w:lang w:val="ru-RU"/>
        </w:rPr>
        <w:t xml:space="preserve">ГИС ГМП Администратор платежей</w:t>
      </w:r>
      <w:r>
        <w:rPr>
          <w:rFonts w:ascii="Times New Roman" w:hAnsi="Times New Roman" w:cs="Times New Roman"/>
          <w:u w:val="single"/>
          <w:lang w:val="ru-RU"/>
        </w:rPr>
        <w:t xml:space="preserve">»</w:t>
      </w:r>
      <w:r>
        <w:rPr>
          <w:rFonts w:ascii="Times New Roman" w:hAnsi="Times New Roman" w:cs="Times New Roman"/>
          <w:u w:val="single"/>
          <w:lang w:val="ru-RU"/>
        </w:rPr>
        <w:t xml:space="preserve">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Раздел ГИС ГМП предназначен для взаимодействия с Федеральным Казначейством Российской Федерации, а именно: для передачи информации о начислениях (выста</w:t>
      </w:r>
      <w:r>
        <w:rPr>
          <w:rFonts w:ascii="Times New Roman" w:hAnsi="Times New Roman" w:cs="Times New Roman"/>
          <w:lang w:val="ru-RU"/>
        </w:rPr>
        <w:t xml:space="preserve">вленных счетах на оплату услуг),</w:t>
      </w:r>
      <w:r>
        <w:rPr>
          <w:rFonts w:ascii="Times New Roman" w:hAnsi="Times New Roman" w:cs="Times New Roman"/>
          <w:lang w:val="ru-RU"/>
        </w:rPr>
        <w:t xml:space="preserve"> для передачи информации о</w:t>
      </w:r>
      <w:r>
        <w:rPr>
          <w:rFonts w:ascii="Times New Roman" w:hAnsi="Times New Roman" w:cs="Times New Roman"/>
          <w:lang w:val="ru-RU"/>
        </w:rPr>
        <w:t xml:space="preserve"> платежах (</w:t>
      </w:r>
      <w:r>
        <w:rPr>
          <w:rFonts w:ascii="Times New Roman" w:hAnsi="Times New Roman" w:cs="Times New Roman"/>
          <w:i/>
          <w:lang w:val="ru-RU"/>
        </w:rPr>
        <w:t xml:space="preserve">передача </w:t>
      </w:r>
      <w:r>
        <w:rPr>
          <w:rFonts w:ascii="Times New Roman" w:hAnsi="Times New Roman" w:cs="Times New Roman"/>
          <w:i/>
          <w:lang w:val="ru-RU"/>
        </w:rPr>
        <w:t xml:space="preserve">извещений о приеме к исполнению распоряжений</w:t>
      </w:r>
      <w:r>
        <w:rPr>
          <w:rFonts w:ascii="Times New Roman" w:hAnsi="Times New Roman" w:cs="Times New Roman"/>
          <w:lang w:val="ru-RU"/>
        </w:rPr>
        <w:t xml:space="preserve">),</w:t>
      </w:r>
      <w:r>
        <w:rPr>
          <w:rFonts w:ascii="Times New Roman" w:hAnsi="Times New Roman" w:cs="Times New Roman"/>
          <w:lang w:val="ru-RU"/>
        </w:rPr>
        <w:t xml:space="preserve"> для передачи информации о</w:t>
      </w:r>
      <w:r>
        <w:rPr>
          <w:rFonts w:ascii="Times New Roman" w:hAnsi="Times New Roman" w:cs="Times New Roman"/>
          <w:lang w:val="ru-RU"/>
        </w:rPr>
        <w:t xml:space="preserve"> возвратах и для </w:t>
      </w:r>
      <w:r>
        <w:rPr>
          <w:rFonts w:ascii="Times New Roman" w:hAnsi="Times New Roman" w:cs="Times New Roman"/>
          <w:lang w:val="ru-RU"/>
        </w:rPr>
        <w:t xml:space="preserve">приема информации о платежах</w:t>
      </w:r>
      <w:r>
        <w:rPr>
          <w:rFonts w:ascii="Times New Roman" w:hAnsi="Times New Roman" w:cs="Times New Roman"/>
          <w:lang w:val="ru-RU"/>
        </w:rPr>
        <w:t xml:space="preserve">, начислениях, возвратах</w:t>
      </w:r>
      <w:r>
        <w:rPr>
          <w:rFonts w:ascii="Times New Roman" w:hAnsi="Times New Roman" w:cs="Times New Roman"/>
          <w:lang w:val="ru-RU"/>
        </w:rPr>
        <w:t xml:space="preserve"> и результатах квитирования начислений.</w:t>
      </w:r>
      <w:r/>
    </w:p>
    <w:p>
      <w:pPr>
        <w:pStyle w:val="726"/>
        <w:numPr>
          <w:ilvl w:val="1"/>
          <w:numId w:val="2"/>
        </w:numPr>
        <w:ind w:left="0" w:firstLine="720"/>
        <w:spacing w:before="0" w:after="0"/>
      </w:pPr>
      <w:r/>
      <w:bookmarkStart w:id="6" w:name="_Toc62549523"/>
      <w:r/>
      <w:bookmarkStart w:id="7" w:name="_Toc62467445"/>
      <w:r/>
      <w:bookmarkStart w:id="8" w:name="_Toc61969142"/>
      <w:r/>
      <w:bookmarkStart w:id="9" w:name="_Toc21430783"/>
      <w:r/>
      <w:bookmarkStart w:id="10" w:name="_Toc62549813"/>
      <w:r/>
      <w:bookmarkStart w:id="11" w:name="_Toc66901436"/>
      <w:r/>
      <w:bookmarkStart w:id="12" w:name="_Toc69295829"/>
      <w:r/>
      <w:bookmarkEnd w:id="3"/>
      <w:r/>
      <w:bookmarkEnd w:id="4"/>
      <w:r/>
      <w:bookmarkEnd w:id="5"/>
      <w:r>
        <w:t xml:space="preserve">Работа с начислениями</w:t>
      </w:r>
      <w:bookmarkEnd w:id="6"/>
      <w:r/>
      <w:bookmarkEnd w:id="7"/>
      <w:r/>
      <w:bookmarkEnd w:id="8"/>
      <w:r/>
      <w:bookmarkEnd w:id="9"/>
      <w:r/>
      <w:bookmarkEnd w:id="10"/>
      <w:r/>
      <w:bookmarkEnd w:id="11"/>
      <w:r/>
      <w:bookmarkEnd w:id="12"/>
      <w:r/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13" w:name="_Toc62549524"/>
      <w:r/>
      <w:bookmarkStart w:id="14" w:name="_Toc62467446"/>
      <w:r/>
      <w:bookmarkStart w:id="15" w:name="_Toc61969143"/>
      <w:r/>
      <w:bookmarkStart w:id="16" w:name="_Toc21430784"/>
      <w:r/>
      <w:bookmarkStart w:id="17" w:name="_Toc532294102"/>
      <w:r/>
      <w:bookmarkStart w:id="18" w:name="_Toc62549814"/>
      <w:r/>
      <w:bookmarkStart w:id="19" w:name="_Toc66901437"/>
      <w:r/>
      <w:bookmarkStart w:id="20" w:name="_Toc69295830"/>
      <w:r>
        <w:t xml:space="preserve">Описание подраздела</w:t>
      </w:r>
      <w:bookmarkEnd w:id="13"/>
      <w:r/>
      <w:bookmarkEnd w:id="14"/>
      <w:r/>
      <w:bookmarkEnd w:id="15"/>
      <w:r/>
      <w:bookmarkEnd w:id="16"/>
      <w:r/>
      <w:bookmarkEnd w:id="17"/>
      <w:r/>
      <w:bookmarkEnd w:id="18"/>
      <w:r/>
      <w:bookmarkEnd w:id="19"/>
      <w:r/>
      <w:bookmarkEnd w:id="20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работы с начислениями перейдите в «ГИС ГМП» и выберите подраздел «Начисления»: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2103120"/>
                <wp:effectExtent l="0" t="0" r="7620" b="0"/>
                <wp:docPr id="1" name="Рисунок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648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2.4pt;height:165.6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Подраздел «Начисления»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Подраздел состоит из следующих элементов:</w:t>
      </w:r>
      <w:r/>
    </w:p>
    <w:p>
      <w:pPr>
        <w:pStyle w:val="724"/>
        <w:numPr>
          <w:ilvl w:val="0"/>
          <w:numId w:val="3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Рабочее поле раздела – содержит краткую информацию о созданных пользователем начислениях (и других пользователей - для просмотра необходимо убрать флажок в поле «Только мои начисления»), а также меню действий (для открытия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160" cy="213360"/>
                <wp:effectExtent l="0" t="0" r="0" b="0"/>
                <wp:docPr id="2" name="Рисунок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71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.8pt;height:16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»). Для просмотра детальной информации по какому-либо из начислений, откройте форму начисления, нажав на его строку.</w:t>
      </w:r>
      <w:r/>
    </w:p>
    <w:p>
      <w:pPr>
        <w:pStyle w:val="724"/>
        <w:numPr>
          <w:ilvl w:val="0"/>
          <w:numId w:val="3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нового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начисления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3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экспорта</w:t>
      </w:r>
      <w:r>
        <w:rPr>
          <w:rFonts w:ascii="Times New Roman" w:hAnsi="Times New Roman" w:cs="Times New Roman"/>
        </w:rPr>
        <w:t xml:space="preserve">/</w:t>
      </w:r>
      <w:r>
        <w:rPr>
          <w:rFonts w:ascii="Times New Roman" w:hAnsi="Times New Roman" w:cs="Times New Roman"/>
        </w:rPr>
        <w:t xml:space="preserve">импорта</w:t>
      </w:r>
      <w:r>
        <w:rPr>
          <w:rFonts w:ascii="Times New Roman" w:hAnsi="Times New Roman" w:cs="Times New Roman"/>
        </w:rPr>
        <w:t xml:space="preserve">:</w:t>
      </w:r>
      <w:r/>
    </w:p>
    <w:p>
      <w:pPr>
        <w:pStyle w:val="724"/>
        <w:numPr>
          <w:ilvl w:val="0"/>
          <w:numId w:val="4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5360" cy="220980"/>
                <wp:effectExtent l="0" t="0" r="0" b="7620"/>
                <wp:docPr id="3" name="Рисунок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5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6.8pt;height:17.4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  <w:r/>
    </w:p>
    <w:p>
      <w:pPr>
        <w:pStyle w:val="724"/>
        <w:numPr>
          <w:ilvl w:val="0"/>
          <w:numId w:val="4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2020" cy="228600"/>
                <wp:effectExtent l="0" t="0" r="0" b="0"/>
                <wp:docPr id="4" name="Рисунок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9220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2.6pt;height:18.0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- загрузка данных о начислениях из других систем в подраздел;</w:t>
      </w:r>
      <w:r/>
    </w:p>
    <w:p>
      <w:pPr>
        <w:pStyle w:val="724"/>
        <w:numPr>
          <w:ilvl w:val="0"/>
          <w:numId w:val="4"/>
        </w:numPr>
        <w:ind w:left="0"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97280" cy="198120"/>
                <wp:effectExtent l="0" t="0" r="7620" b="0"/>
                <wp:docPr id="5" name="Рисунок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0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0972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86.4pt;height:15.6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принудительный запрос информации о начислениях из ГИС ГМП. В появившемся окне выберите период и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2920" cy="167640"/>
                <wp:effectExtent l="0" t="0" r="0" b="3810"/>
                <wp:docPr id="6" name="Рисунок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29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.6pt;height:13.2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0" cy="1307910"/>
                <wp:effectExtent l="0" t="0" r="0" b="6985"/>
                <wp:docPr id="7" name="Рисунок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080670" cy="1321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0.0pt;height:103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Экспорт из ГИС ГМП</w:t>
      </w:r>
      <w:r/>
    </w:p>
    <w:p>
      <w:pPr>
        <w:pStyle w:val="724"/>
        <w:numPr>
          <w:ilvl w:val="0"/>
          <w:numId w:val="3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Строка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поиска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3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Переключатель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страниц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21" w:name="_Toc62549525"/>
      <w:r/>
      <w:bookmarkStart w:id="22" w:name="_Toc62467447"/>
      <w:r/>
      <w:bookmarkStart w:id="23" w:name="_Toc61969144"/>
      <w:r/>
      <w:bookmarkStart w:id="24" w:name="_Toc21430785"/>
      <w:r/>
      <w:bookmarkStart w:id="25" w:name="_Toc532294103"/>
      <w:r/>
      <w:bookmarkStart w:id="26" w:name="_Ref484620240"/>
      <w:r/>
      <w:bookmarkStart w:id="27" w:name="_Toc62549815"/>
      <w:r/>
      <w:bookmarkStart w:id="28" w:name="_Toc66901438"/>
      <w:r/>
      <w:bookmarkStart w:id="29" w:name="_Toc69295831"/>
      <w:r>
        <w:t xml:space="preserve">Создание и отправка начисления</w:t>
      </w:r>
      <w:bookmarkEnd w:id="21"/>
      <w:r/>
      <w:bookmarkEnd w:id="22"/>
      <w:r/>
      <w:bookmarkEnd w:id="23"/>
      <w:r/>
      <w:bookmarkEnd w:id="24"/>
      <w:r/>
      <w:bookmarkEnd w:id="25"/>
      <w:r/>
      <w:bookmarkEnd w:id="26"/>
      <w:r/>
      <w:bookmarkEnd w:id="27"/>
      <w:r/>
      <w:bookmarkEnd w:id="28"/>
      <w:r/>
      <w:bookmarkEnd w:id="29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создания начисления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540" cy="152400"/>
                <wp:effectExtent l="0" t="0" r="3810" b="0"/>
                <wp:docPr id="8" name="Рисунок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.2pt;height:12.0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и заполните поля открывшейся формы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62042117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113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):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«Дата, вплоть до которой актуально начисление» - поле заполняется вручную либо с помощью встроенного календаря. Необязательно для заполнения. Обратите внимание, что указываемая дата должна быть позднее даты создания начисления.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«Сокращенное наименование организации» - поле заполняется автоматически (при наличии указанного в Карточке пользователя ведомства). </w:t>
      </w:r>
      <w:r>
        <w:rPr>
          <w:rFonts w:ascii="Times New Roman" w:hAnsi="Times New Roman" w:cs="Times New Roman"/>
        </w:rPr>
        <w:t xml:space="preserve"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«ИНН организации» - поле заполняется автоматически (при наличии этой информации у указанного в Карточке пользователя ведомства). Обязательно для заполнения и имеет ограничение на ввод – необходимо внести 10 цифр.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«КПП организации» - поле заполняется автоматически (при наличии этой информации у указанного в Карточке пользователя ведомства). Обязательно для заполнения и имеет ограничение на ввод – необходимо внести 9 цифр.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«Номер казначе</w:t>
      </w:r>
      <w:r>
        <w:rPr>
          <w:rFonts w:ascii="Times New Roman" w:hAnsi="Times New Roman" w:cs="Times New Roman"/>
          <w:lang w:val="ru-RU"/>
        </w:rPr>
        <w:t xml:space="preserve">йского счета или номер счета в банке получателя» - 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20 цифр.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«Наименование ТОФК, структурного подразделения кредитной организации или подразделения Банка России, в котором открыт счет»</w:t>
      </w:r>
      <w:r>
        <w:rPr>
          <w:rFonts w:ascii="Times New Roman" w:hAnsi="Times New Roman" w:cs="Times New Roman"/>
          <w:bCs/>
          <w:lang w:val="ru-RU"/>
        </w:rPr>
        <w:t xml:space="preserve"> - поле заполняется вручную. </w:t>
      </w:r>
      <w:r>
        <w:rPr>
          <w:rFonts w:ascii="Times New Roman" w:hAnsi="Times New Roman" w:cs="Times New Roman"/>
          <w:bCs/>
        </w:rPr>
        <w:t xml:space="preserve">Необязательно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для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заполнения</w:t>
      </w:r>
      <w:r>
        <w:rPr>
          <w:rFonts w:ascii="Times New Roman" w:hAnsi="Times New Roman" w:cs="Times New Roman"/>
          <w:bCs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«БИК ТОФК, структурного подразделения кредитной организации или подразделения Банка России, в котором открыт счет»</w:t>
      </w:r>
      <w:r>
        <w:rPr>
          <w:rFonts w:ascii="Times New Roman" w:hAnsi="Times New Roman" w:cs="Times New Roman"/>
          <w:bCs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 xml:space="preserve">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9 цифр.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</w:t>
      </w:r>
      <w:r>
        <w:rPr>
          <w:rFonts w:ascii="Times New Roman" w:hAnsi="Times New Roman" w:cs="Times New Roman"/>
          <w:bCs/>
          <w:lang w:val="ru-RU"/>
        </w:rPr>
        <w:t xml:space="preserve">омер единого казначейского счета или корреспондентского счета кредитной организации, открытый в подразделении Банка России» - поле заполняется автоматически (при наличии этой информации у указанного в Карточке пользователя ведомства</w:t>
      </w:r>
      <w:r>
        <w:rPr>
          <w:rFonts w:ascii="Times New Roman" w:hAnsi="Times New Roman" w:cs="Times New Roman"/>
          <w:lang w:val="ru-RU"/>
        </w:rPr>
        <w:t xml:space="preserve">) либо вручную. Необязательно для заполнения и имеет ограничение на ввод – необхо</w:t>
      </w:r>
      <w:r>
        <w:rPr>
          <w:rFonts w:ascii="Times New Roman" w:hAnsi="Times New Roman" w:cs="Times New Roman"/>
          <w:lang w:val="ru-RU"/>
        </w:rPr>
        <w:t xml:space="preserve">димо внести 20 цифр. Для счетов получателя средств, в первых пяти знаках которых указаны значения «03100», «03212», «03222», «03232», «03242», «03252», «03262», «03272», «03214», «03224», «03234», «03254» обязательно должен быть указан счет, открытый на ба</w:t>
      </w:r>
      <w:r>
        <w:rPr>
          <w:rFonts w:ascii="Times New Roman" w:hAnsi="Times New Roman" w:cs="Times New Roman"/>
          <w:lang w:val="ru-RU"/>
        </w:rPr>
        <w:t xml:space="preserve">лансовом счете № 40102 «Единый казначейский счет». Если для счетов получателя средств, открытых на балансовых счетах «40503», «40603», «40703» значение корреспондентского счета кредитной организации указано, то первые цифры поля должны начинаться на «301».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Наименование начисления (За что выставлен счёт)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вручную. </w:t>
      </w:r>
      <w:r>
        <w:rPr>
          <w:rFonts w:ascii="Times New Roman" w:hAnsi="Times New Roman" w:cs="Times New Roman"/>
        </w:rPr>
        <w:t xml:space="preserve"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 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Сумма начисления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вручную. Обязательно для заполнения. Сумму необходимо внести в рублях и копейках, в качестве разделителя используется точка (например, 10 рублей – указываем </w:t>
      </w:r>
      <w:r>
        <w:rPr>
          <w:rFonts w:ascii="Times New Roman" w:hAnsi="Times New Roman" w:cs="Times New Roman"/>
          <w:i/>
          <w:lang w:val="ru-RU"/>
        </w:rPr>
        <w:t xml:space="preserve">10.00</w:t>
      </w:r>
      <w:r>
        <w:rPr>
          <w:rFonts w:ascii="Times New Roman" w:hAnsi="Times New Roman" w:cs="Times New Roman"/>
          <w:lang w:val="ru-RU"/>
        </w:rPr>
        <w:t xml:space="preserve">, 10 рублей 95 копеек – </w:t>
      </w:r>
      <w:r>
        <w:rPr>
          <w:rFonts w:ascii="Times New Roman" w:hAnsi="Times New Roman" w:cs="Times New Roman"/>
          <w:i/>
          <w:lang w:val="ru-RU"/>
        </w:rPr>
        <w:t xml:space="preserve">10.95</w:t>
      </w:r>
      <w:r>
        <w:rPr>
          <w:rFonts w:ascii="Times New Roman" w:hAnsi="Times New Roman" w:cs="Times New Roman"/>
          <w:lang w:val="ru-RU"/>
        </w:rPr>
        <w:t xml:space="preserve">).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«КБК или код операции» - поле заполняется вручную. Обязательно для заполнения и имеет ограничение на ввод – необходимо внести 20 цифр. Код используется для учета доходов и расходов бюджетов всех уровней в Российской Федерации. </w:t>
      </w:r>
      <w:r>
        <w:rPr>
          <w:rFonts w:ascii="Times New Roman" w:hAnsi="Times New Roman" w:cs="Times New Roman"/>
        </w:rPr>
        <w:t xml:space="preserve"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значение</w:t>
      </w:r>
      <w:r>
        <w:rPr>
          <w:rFonts w:ascii="Times New Roman" w:hAnsi="Times New Roman" w:cs="Times New Roman"/>
        </w:rPr>
        <w:t xml:space="preserve"> КБК </w:t>
      </w:r>
      <w:r>
        <w:rPr>
          <w:rFonts w:ascii="Times New Roman" w:hAnsi="Times New Roman" w:cs="Times New Roman"/>
        </w:rPr>
        <w:t xml:space="preserve">неизвестно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введите</w:t>
      </w:r>
      <w:r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поле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значение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i/>
        </w:rPr>
        <w:t xml:space="preserve">0</w:t>
      </w:r>
      <w:r>
        <w:rPr>
          <w:rFonts w:ascii="Times New Roman" w:hAnsi="Times New Roman" w:cs="Times New Roman"/>
        </w:rPr>
        <w:t xml:space="preserve">».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«</w:t>
      </w:r>
      <w:r>
        <w:rPr>
          <w:rFonts w:ascii="Times New Roman" w:hAnsi="Times New Roman" w:cs="Times New Roman"/>
          <w:bCs/>
          <w:lang w:val="ru-RU"/>
        </w:rPr>
        <w:t xml:space="preserve">Код ОКТМО получателя средств</w:t>
      </w:r>
      <w:r>
        <w:rPr>
          <w:rFonts w:ascii="Times New Roman" w:hAnsi="Times New Roman" w:cs="Times New Roman"/>
          <w:lang w:val="ru-RU"/>
        </w:rPr>
        <w:t xml:space="preserve">» - 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8 или 11 цифр.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«Предварительное начисление» - если </w:t>
      </w:r>
      <w:r>
        <w:rPr>
          <w:rFonts w:ascii="Times New Roman" w:hAnsi="Times New Roman" w:cs="Times New Roman"/>
          <w:lang w:val="ru-RU"/>
        </w:rPr>
        <w:t xml:space="preserve">чексбокс</w:t>
      </w:r>
      <w:r>
        <w:rPr>
          <w:rFonts w:ascii="Times New Roman" w:hAnsi="Times New Roman" w:cs="Times New Roman"/>
          <w:lang w:val="ru-RU"/>
        </w:rPr>
        <w:t xml:space="preserve"> отмечен, то будет создано предварительное начисление, данное начисление может иметь только нулевую сумму. </w:t>
      </w:r>
      <w:r>
        <w:rPr>
          <w:rFonts w:ascii="Times New Roman" w:hAnsi="Times New Roman" w:cs="Times New Roman"/>
        </w:rPr>
        <w:t xml:space="preserve"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чексбокс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отмечен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то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будет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простое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начисление</w:t>
      </w:r>
      <w:r>
        <w:rPr>
          <w:rFonts w:ascii="Times New Roman" w:hAnsi="Times New Roman" w:cs="Times New Roman"/>
        </w:rPr>
        <w:t xml:space="preserve">. 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Статус плательщика</w:t>
      </w:r>
      <w:r>
        <w:rPr>
          <w:rFonts w:ascii="Times New Roman" w:hAnsi="Times New Roman" w:cs="Times New Roman"/>
          <w:lang w:val="ru-RU"/>
        </w:rPr>
        <w:t xml:space="preserve">» - поле заполняется выбором значения из выпадающего списка. </w:t>
      </w:r>
      <w:r>
        <w:rPr>
          <w:rFonts w:ascii="Times New Roman" w:hAnsi="Times New Roman" w:cs="Times New Roman"/>
        </w:rPr>
        <w:t xml:space="preserve"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 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Показатель основания платежа</w:t>
      </w:r>
      <w:r>
        <w:rPr>
          <w:rFonts w:ascii="Times New Roman" w:hAnsi="Times New Roman" w:cs="Times New Roman"/>
          <w:lang w:val="ru-RU"/>
        </w:rPr>
        <w:t xml:space="preserve">» - поле заполняется выбором значения из выпадающего списка. </w:t>
      </w:r>
      <w:r>
        <w:rPr>
          <w:rFonts w:ascii="Times New Roman" w:hAnsi="Times New Roman" w:cs="Times New Roman"/>
        </w:rPr>
        <w:t xml:space="preserve"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Налоговый период или код таможенного органа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вручную. Необязательно для заполнения и имеет ограничение на ввод – не более 10 символов. Образцы заполнения показателя налогового периода: «</w:t>
      </w:r>
      <w:r>
        <w:rPr>
          <w:rFonts w:ascii="Times New Roman" w:hAnsi="Times New Roman" w:cs="Times New Roman"/>
          <w:i/>
          <w:lang w:val="ru-RU"/>
        </w:rPr>
        <w:t xml:space="preserve">МС.02.2016</w:t>
      </w:r>
      <w:r>
        <w:rPr>
          <w:rFonts w:ascii="Times New Roman" w:hAnsi="Times New Roman" w:cs="Times New Roman"/>
          <w:lang w:val="ru-RU"/>
        </w:rPr>
        <w:t xml:space="preserve">», «</w:t>
      </w:r>
      <w:r>
        <w:rPr>
          <w:rFonts w:ascii="Times New Roman" w:hAnsi="Times New Roman" w:cs="Times New Roman"/>
          <w:i/>
          <w:lang w:val="ru-RU"/>
        </w:rPr>
        <w:t xml:space="preserve">КВ.01.2017</w:t>
      </w:r>
      <w:r>
        <w:rPr>
          <w:rFonts w:ascii="Times New Roman" w:hAnsi="Times New Roman" w:cs="Times New Roman"/>
          <w:lang w:val="ru-RU"/>
        </w:rPr>
        <w:t xml:space="preserve">», «</w:t>
      </w:r>
      <w:r>
        <w:rPr>
          <w:rFonts w:ascii="Times New Roman" w:hAnsi="Times New Roman" w:cs="Times New Roman"/>
          <w:i/>
          <w:lang w:val="ru-RU"/>
        </w:rPr>
        <w:t xml:space="preserve">ПЛ.02.2016</w:t>
      </w:r>
      <w:r>
        <w:rPr>
          <w:rFonts w:ascii="Times New Roman" w:hAnsi="Times New Roman" w:cs="Times New Roman"/>
          <w:lang w:val="ru-RU"/>
        </w:rPr>
        <w:t xml:space="preserve">», «</w:t>
      </w:r>
      <w:r>
        <w:rPr>
          <w:rFonts w:ascii="Times New Roman" w:hAnsi="Times New Roman" w:cs="Times New Roman"/>
          <w:i/>
          <w:lang w:val="ru-RU"/>
        </w:rPr>
        <w:t xml:space="preserve">ГД.00.2016</w:t>
      </w:r>
      <w:r>
        <w:rPr>
          <w:rFonts w:ascii="Times New Roman" w:hAnsi="Times New Roman" w:cs="Times New Roman"/>
          <w:lang w:val="ru-RU"/>
        </w:rPr>
        <w:t xml:space="preserve">», «</w:t>
      </w:r>
      <w:r>
        <w:rPr>
          <w:rFonts w:ascii="Times New Roman" w:hAnsi="Times New Roman" w:cs="Times New Roman"/>
          <w:i/>
          <w:lang w:val="ru-RU"/>
        </w:rPr>
        <w:t xml:space="preserve">04.69.2017</w:t>
      </w:r>
      <w:r>
        <w:rPr>
          <w:rFonts w:ascii="Times New Roman" w:hAnsi="Times New Roman" w:cs="Times New Roman"/>
          <w:lang w:val="ru-RU"/>
        </w:rPr>
        <w:t xml:space="preserve">», где:</w:t>
      </w:r>
      <w:r/>
    </w:p>
    <w:p>
      <w:pPr>
        <w:pStyle w:val="724"/>
        <w:numPr>
          <w:ilvl w:val="0"/>
          <w:numId w:val="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МС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месячные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платежи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КВ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квартальные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платежи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ПЛ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полугодовые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платежи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ГД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годовые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платежи</w:t>
      </w:r>
      <w:r>
        <w:rPr>
          <w:rFonts w:ascii="Times New Roman" w:hAnsi="Times New Roman" w:cs="Times New Roman"/>
        </w:rPr>
        <w:t xml:space="preserve">.</w:t>
      </w:r>
      <w:r/>
    </w:p>
    <w:p>
      <w:pPr>
        <w:ind w:firstLine="720"/>
        <w:jc w:val="center"/>
        <w:keepNext/>
        <w:spacing w:line="360" w:lineRule="auto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46220" cy="8983980"/>
                <wp:effectExtent l="0" t="0" r="0" b="7620"/>
                <wp:docPr id="9" name="Рисунок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912" t="0" r="1159" b="281"/>
                        <a:stretch/>
                      </pic:blipFill>
                      <pic:spPr bwMode="auto">
                        <a:xfrm>
                          <a:off x="0" y="0"/>
                          <a:ext cx="4046220" cy="898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18.6pt;height:707.4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722"/>
        <w:ind w:firstLine="720"/>
        <w:keepNext/>
        <w:rPr>
          <w:sz w:val="24"/>
          <w:szCs w:val="24"/>
        </w:rPr>
      </w:pPr>
      <w:r/>
      <w:bookmarkStart w:id="30" w:name="_Ref62042117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113</w:t>
      </w:r>
      <w:r>
        <w:rPr>
          <w:sz w:val="24"/>
          <w:szCs w:val="24"/>
        </w:rPr>
        <w:fldChar w:fldCharType="end"/>
      </w:r>
      <w:bookmarkEnd w:id="30"/>
      <w:r>
        <w:rPr>
          <w:sz w:val="24"/>
          <w:szCs w:val="24"/>
        </w:rPr>
        <w:t xml:space="preserve">. Форма начисления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«</w:t>
      </w:r>
      <w:r>
        <w:rPr>
          <w:rFonts w:ascii="Times New Roman" w:hAnsi="Times New Roman" w:cs="Times New Roman"/>
          <w:bCs/>
          <w:lang w:val="ru-RU"/>
        </w:rPr>
        <w:t xml:space="preserve">Показатель номера документа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вручную. Необязательно для заполнения и имеет ограничение на ввод – не более 20 символов. В поле указывается номер документа, который является основанием платежа (подробнее -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484602438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Таблица </w:t>
      </w:r>
      <w:r>
        <w:rPr>
          <w:rFonts w:ascii="Times New Roman" w:hAnsi="Times New Roman" w:cs="Times New Roman"/>
          <w:lang w:val="ru-RU"/>
        </w:rPr>
        <w:t xml:space="preserve">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Символ «№» проставлять в поле не нужно.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Показатель даты документа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вручную. Необязательно для заполнения и имеет ограничение на ввод – нужно ввести 10 символов в формате «</w:t>
      </w:r>
      <w:r>
        <w:rPr>
          <w:rFonts w:ascii="Times New Roman" w:hAnsi="Times New Roman" w:cs="Times New Roman"/>
          <w:i/>
          <w:lang w:val="ru-RU"/>
        </w:rPr>
        <w:t xml:space="preserve">чч.</w:t>
      </w:r>
      <w:r>
        <w:rPr>
          <w:rFonts w:ascii="Times New Roman" w:hAnsi="Times New Roman" w:cs="Times New Roman"/>
          <w:i/>
          <w:lang w:val="ru-RU"/>
        </w:rPr>
        <w:t xml:space="preserve">чч.чччч</w:t>
      </w:r>
      <w:r>
        <w:rPr>
          <w:rFonts w:ascii="Times New Roman" w:hAnsi="Times New Roman" w:cs="Times New Roman"/>
          <w:lang w:val="ru-RU"/>
        </w:rPr>
        <w:t xml:space="preserve">». В поле указывается дата выдачи документа, который является основанием платежа (указывается в поле 18).</w:t>
      </w:r>
      <w:r/>
    </w:p>
    <w:p>
      <w:pPr>
        <w:pStyle w:val="722"/>
        <w:ind w:firstLine="720"/>
        <w:widowControl w:val="off"/>
        <w:rPr>
          <w:sz w:val="24"/>
          <w:szCs w:val="24"/>
        </w:rPr>
      </w:pPr>
      <w:r/>
      <w:bookmarkStart w:id="31" w:name="_Ref484602438"/>
      <w:r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2</w:t>
      </w:r>
      <w:r>
        <w:rPr>
          <w:sz w:val="24"/>
          <w:szCs w:val="24"/>
        </w:rPr>
        <w:fldChar w:fldCharType="end"/>
      </w:r>
      <w:bookmarkEnd w:id="31"/>
      <w:r>
        <w:rPr>
          <w:sz w:val="24"/>
          <w:szCs w:val="24"/>
        </w:rPr>
        <w:t xml:space="preserve">. Заполнение полей в зависимости от выбранного значения в поле «Показатель основания платежа»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3969"/>
      </w:tblGrid>
      <w:tr>
        <w:trPr/>
        <w:tc>
          <w:tcPr>
            <w:shd w:val="clear" w:color="auto" w:fill="e7e6e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jc w:val="center"/>
              <w:widowControl w:val="off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Показатель основания платежа (значение, выбранное в одноименном поле 15)</w:t>
            </w:r>
            <w:r/>
          </w:p>
        </w:tc>
        <w:tc>
          <w:tcPr>
            <w:shd w:val="clear" w:color="auto" w:fill="e7e6e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jc w:val="center"/>
              <w:widowControl w:val="off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Что указывается в поле 17 «Показатель номера документа»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ind w:firstLine="720"/>
              <w:spacing w:line="360" w:lineRule="auto"/>
              <w:widowControl w:val="off"/>
            </w:pPr>
            <w:r>
              <w:t xml:space="preserve">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widowControl w:val="off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добровольное погашение задолженности по истекшим налоговым, расчетным (отчетным) периодам при отсутствии требования налогового органа об уплате налогов (сборов) (далее по тексту - ЗД)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платежи текущего года (далее по тексту - ТП)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должником задолженности в ходе процедур, применяемых в деле о банкротстве (далее по тексту - ПБ)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дела или материала, рассмотренного арбитражным судом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задолженности по исполнительному документу (далее по тексту - АР)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исполнительного документа и возбужденного на основании его исполнительного производства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задолженности по акту проверки (далее по тексту - АП)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решения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задолженности по требованию налогового органа об уплате налогов (сборов) (далее по тексту - ТР)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требования налогового органа об уплате налога (сбора)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задолженности, приостановленной к взысканию (далее по тексту - ПР)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решения о приостановлении взыскания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инвестиционного налогового кредита (далее по тексту - ИН)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решения о предоставлении инвестиционного налогового кредита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отсроченной задолженности (далее по тексту - ОТ)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решения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об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отсрочке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рассроченной задолженности (далее по тексту - РС)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решения</w:t>
            </w:r>
            <w:r>
              <w:rPr>
                <w:rFonts w:ascii="Times New Roman" w:hAnsi="Times New Roman" w:cs="Times New Roman"/>
              </w:rPr>
              <w:t xml:space="preserve"> о </w:t>
            </w:r>
            <w:r>
              <w:rPr>
                <w:rFonts w:ascii="Times New Roman" w:hAnsi="Times New Roman" w:cs="Times New Roman"/>
              </w:rPr>
              <w:t xml:space="preserve">рассрочке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</w:t>
            </w:r>
            <w:r>
              <w:rPr>
                <w:rFonts w:ascii="Times New Roman" w:hAnsi="Times New Roman" w:cs="Times New Roman"/>
                <w:lang w:val="ru-RU"/>
              </w:rPr>
              <w:t xml:space="preserve">реструктурируемой</w:t>
            </w:r>
            <w:r>
              <w:rPr>
                <w:rFonts w:ascii="Times New Roman" w:hAnsi="Times New Roman" w:cs="Times New Roman"/>
                <w:lang w:val="ru-RU"/>
              </w:rPr>
              <w:t xml:space="preserve"> задолженности (далее по тексту - РТ)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решения</w:t>
            </w:r>
            <w:r>
              <w:rPr>
                <w:rFonts w:ascii="Times New Roman" w:hAnsi="Times New Roman" w:cs="Times New Roman"/>
              </w:rPr>
              <w:t xml:space="preserve"> о </w:t>
            </w:r>
            <w:r>
              <w:rPr>
                <w:rFonts w:ascii="Times New Roman" w:hAnsi="Times New Roman" w:cs="Times New Roman"/>
              </w:rPr>
              <w:t xml:space="preserve">реструктуризации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keepNext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текущей задолженности в ходе процедур, применяемых в деле о банкротстве (далее по тексту - ЗТ)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требуется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погашение учредителем (участником) должника, собственником имущества должника - унитарного предприятия или третьим лицом задолженности в ходе процедур, применяемых в деле о банкротстве (далее по тексту - ТЛ)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номер определения арбитражного суда об удовлетворении заявления о намерении погасить требования к должнику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3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текущий платеж физического лица - клиента банка (владельца счета), уплачиваемый со своего банковского счета (далее по тексту - БФ)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pStyle w:val="724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требуется</w:t>
            </w:r>
            <w:r/>
          </w:p>
        </w:tc>
      </w:tr>
    </w:tbl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bCs/>
          <w:lang w:val="ru-RU"/>
        </w:rPr>
        <w:t xml:space="preserve">Тип плательщика</w:t>
      </w:r>
      <w:r>
        <w:rPr>
          <w:rFonts w:ascii="Times New Roman" w:hAnsi="Times New Roman" w:cs="Times New Roman"/>
          <w:lang w:val="ru-RU"/>
        </w:rPr>
        <w:t xml:space="preserve">» - поле заполняется выбором значения из выпадающего списка. Обязательно для заполнения. В зависимости от выбранного значения раскрываются дополнительные поля, </w:t>
      </w:r>
      <w:r>
        <w:rPr>
          <w:rFonts w:ascii="Times New Roman" w:hAnsi="Times New Roman" w:cs="Times New Roman"/>
          <w:u w:val="single"/>
          <w:lang w:val="ru-RU"/>
        </w:rPr>
        <w:t xml:space="preserve">обязательные для заполнения</w:t>
      </w:r>
      <w:r>
        <w:rPr>
          <w:rFonts w:ascii="Times New Roman" w:hAnsi="Times New Roman" w:cs="Times New Roman"/>
          <w:lang w:val="ru-RU"/>
        </w:rPr>
        <w:t xml:space="preserve">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3360420"/>
                <wp:effectExtent l="0" t="0" r="7620" b="0"/>
                <wp:docPr id="10" name="Рисунок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6480" cy="336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2.4pt;height:264.6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Дополнительные поля при выборе типа плательщика</w:t>
      </w:r>
      <w:r/>
    </w:p>
    <w:p>
      <w:pPr>
        <w:pStyle w:val="724"/>
        <w:numPr>
          <w:ilvl w:val="1"/>
          <w:numId w:val="7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Значение «</w:t>
      </w:r>
      <w:r>
        <w:rPr>
          <w:rFonts w:ascii="Times New Roman" w:hAnsi="Times New Roman" w:cs="Times New Roman"/>
          <w:i/>
          <w:lang w:val="ru-RU"/>
        </w:rPr>
        <w:t xml:space="preserve">ИП</w:t>
      </w:r>
      <w:r>
        <w:rPr>
          <w:rFonts w:ascii="Times New Roman" w:hAnsi="Times New Roman" w:cs="Times New Roman"/>
          <w:lang w:val="ru-RU"/>
        </w:rPr>
        <w:t xml:space="preserve">» открывает поле «ИНН ФЛ», заполняемое вручную. </w:t>
      </w:r>
      <w:r>
        <w:rPr>
          <w:rFonts w:ascii="Times New Roman" w:hAnsi="Times New Roman" w:cs="Times New Roman"/>
        </w:rPr>
        <w:t xml:space="preserve">Необходимо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внести</w:t>
      </w:r>
      <w:r>
        <w:rPr>
          <w:rFonts w:ascii="Times New Roman" w:hAnsi="Times New Roman" w:cs="Times New Roman"/>
        </w:rPr>
        <w:t xml:space="preserve"> 12 </w:t>
      </w:r>
      <w:r>
        <w:rPr>
          <w:rFonts w:ascii="Times New Roman" w:hAnsi="Times New Roman" w:cs="Times New Roman"/>
        </w:rPr>
        <w:t xml:space="preserve">цифр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1"/>
          <w:numId w:val="7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Значение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i/>
        </w:rPr>
        <w:t xml:space="preserve">ФЛ</w:t>
      </w:r>
      <w:r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открывает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поля</w:t>
      </w:r>
      <w:r>
        <w:rPr>
          <w:rFonts w:ascii="Times New Roman" w:hAnsi="Times New Roman" w:cs="Times New Roman"/>
        </w:rPr>
        <w:t xml:space="preserve">:</w:t>
      </w:r>
      <w:r/>
    </w:p>
    <w:p>
      <w:pPr>
        <w:pStyle w:val="724"/>
        <w:numPr>
          <w:ilvl w:val="0"/>
          <w:numId w:val="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«Тип документа» - заполняется выбором значения из выпадающего списка;</w:t>
      </w:r>
      <w:r/>
    </w:p>
    <w:p>
      <w:pPr>
        <w:pStyle w:val="724"/>
        <w:numPr>
          <w:ilvl w:val="0"/>
          <w:numId w:val="8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</w:t>
      </w:r>
      <w:r>
        <w:rPr>
          <w:rFonts w:ascii="Times New Roman" w:hAnsi="Times New Roman" w:cs="Times New Roman"/>
        </w:rPr>
        <w:t xml:space="preserve">Номер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документа</w:t>
      </w:r>
      <w:r>
        <w:rPr>
          <w:rFonts w:ascii="Times New Roman" w:hAnsi="Times New Roman" w:cs="Times New Roman"/>
        </w:rPr>
        <w:t xml:space="preserve">» - </w:t>
      </w:r>
      <w:r>
        <w:rPr>
          <w:rFonts w:ascii="Times New Roman" w:hAnsi="Times New Roman" w:cs="Times New Roman"/>
        </w:rPr>
        <w:t xml:space="preserve">заполняется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вручную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«Гражданство» - заполняется выбором значения из выпадающего списка.</w:t>
      </w:r>
      <w:r/>
    </w:p>
    <w:p>
      <w:pPr>
        <w:pStyle w:val="724"/>
        <w:numPr>
          <w:ilvl w:val="1"/>
          <w:numId w:val="7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Значения «</w:t>
      </w:r>
      <w:r>
        <w:rPr>
          <w:rFonts w:ascii="Times New Roman" w:hAnsi="Times New Roman" w:cs="Times New Roman"/>
          <w:i/>
          <w:lang w:val="ru-RU"/>
        </w:rPr>
        <w:t xml:space="preserve">ЮЛ – нерезидент РФ (ПО ИНН)</w:t>
      </w:r>
      <w:r>
        <w:rPr>
          <w:rFonts w:ascii="Times New Roman" w:hAnsi="Times New Roman" w:cs="Times New Roman"/>
          <w:lang w:val="ru-RU"/>
        </w:rPr>
        <w:t xml:space="preserve">» и «</w:t>
      </w:r>
      <w:r>
        <w:rPr>
          <w:rFonts w:ascii="Times New Roman" w:hAnsi="Times New Roman" w:cs="Times New Roman"/>
          <w:i/>
          <w:lang w:val="ru-RU"/>
        </w:rPr>
        <w:t xml:space="preserve">ЮЛ- резидент Р</w:t>
      </w:r>
      <w:r>
        <w:rPr>
          <w:rFonts w:ascii="Times New Roman" w:hAnsi="Times New Roman" w:cs="Times New Roman"/>
          <w:lang w:val="ru-RU"/>
        </w:rPr>
        <w:t xml:space="preserve">Ф» открывают поля:</w:t>
      </w:r>
      <w:r/>
    </w:p>
    <w:p>
      <w:pPr>
        <w:pStyle w:val="724"/>
        <w:numPr>
          <w:ilvl w:val="0"/>
          <w:numId w:val="9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«ИНН ЮЛ» - заполняется вручную. Необходимо внести 10 цифр;</w:t>
      </w:r>
      <w:r/>
    </w:p>
    <w:p>
      <w:pPr>
        <w:pStyle w:val="724"/>
        <w:numPr>
          <w:ilvl w:val="0"/>
          <w:numId w:val="9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«КПП» - заполняется вручную. Необходимо внести 9 цифр.</w:t>
      </w:r>
      <w:r/>
    </w:p>
    <w:p>
      <w:pPr>
        <w:pStyle w:val="724"/>
        <w:numPr>
          <w:ilvl w:val="1"/>
          <w:numId w:val="7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Значение «</w:t>
      </w:r>
      <w:r>
        <w:rPr>
          <w:rFonts w:ascii="Times New Roman" w:hAnsi="Times New Roman" w:cs="Times New Roman"/>
          <w:i/>
          <w:lang w:val="ru-RU"/>
        </w:rPr>
        <w:t xml:space="preserve">ЮЛ – нерезидент РФ (по КИО)</w:t>
      </w:r>
      <w:r>
        <w:rPr>
          <w:rFonts w:ascii="Times New Roman" w:hAnsi="Times New Roman" w:cs="Times New Roman"/>
          <w:lang w:val="ru-RU"/>
        </w:rPr>
        <w:t xml:space="preserve">» раскрывает поля:</w:t>
      </w:r>
      <w:r/>
    </w:p>
    <w:p>
      <w:pPr>
        <w:pStyle w:val="724"/>
        <w:numPr>
          <w:ilvl w:val="0"/>
          <w:numId w:val="1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«КИО ЮЛ» - заполняется вручную. Необходимо внести 5 цифр;</w:t>
      </w:r>
      <w:r/>
    </w:p>
    <w:p>
      <w:pPr>
        <w:pStyle w:val="724"/>
        <w:numPr>
          <w:ilvl w:val="0"/>
          <w:numId w:val="1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«КПП» - заполняется вручную. Необходимо внести 9 цифр.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«Наименование плательщика» - поле заполняется вручную. Необязательно для заполнения. В зависимости от типа плательщика в данное поле вводится либо наименование ЮЛ, либо ФИО ФЛ или ИП.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«Срок оплаты начисления» - поле заполняется вручную, либо с использование встроенного календаря. </w:t>
      </w:r>
      <w:r>
        <w:rPr>
          <w:rFonts w:ascii="Times New Roman" w:hAnsi="Times New Roman" w:cs="Times New Roman"/>
        </w:rPr>
        <w:t xml:space="preserve">Необязательно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«Дополнительные условия оплаты» - заполняется выбором значения из выпадающего списка. </w:t>
      </w:r>
      <w:r>
        <w:rPr>
          <w:rFonts w:ascii="Times New Roman" w:hAnsi="Times New Roman" w:cs="Times New Roman"/>
        </w:rPr>
        <w:t xml:space="preserve">Необязательное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Чекбокс</w:t>
      </w:r>
      <w:r>
        <w:rPr>
          <w:rFonts w:ascii="Times New Roman" w:hAnsi="Times New Roman" w:cs="Times New Roman"/>
          <w:lang w:val="ru-RU"/>
        </w:rPr>
        <w:t xml:space="preserve"> «Указать дополнительные поля начисления» - при установлении </w:t>
      </w:r>
      <w:r>
        <w:rPr>
          <w:rFonts w:ascii="Times New Roman" w:hAnsi="Times New Roman" w:cs="Times New Roman"/>
          <w:lang w:val="ru-RU"/>
        </w:rPr>
        <w:t xml:space="preserve">чекбокса</w:t>
      </w:r>
      <w:r>
        <w:rPr>
          <w:rFonts w:ascii="Times New Roman" w:hAnsi="Times New Roman" w:cs="Times New Roman"/>
          <w:lang w:val="ru-RU"/>
        </w:rPr>
        <w:t xml:space="preserve"> появляются дополнительные поля «Наименование поля» и «Значение поля».</w:t>
      </w:r>
      <w:r/>
    </w:p>
    <w:p>
      <w:pPr>
        <w:pStyle w:val="724"/>
        <w:numPr>
          <w:ilvl w:val="0"/>
          <w:numId w:val="5"/>
        </w:numPr>
        <w:ind w:left="0" w:firstLine="720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 «Адрес плательщика (не отправляется в ГИС ГМП)» - поле заполняется вручную. </w:t>
      </w:r>
      <w:r>
        <w:rPr>
          <w:rFonts w:ascii="Times New Roman" w:hAnsi="Times New Roman" w:cs="Times New Roman"/>
        </w:rPr>
        <w:t xml:space="preserve">Необязательно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5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«Комментарий (не отправляется в ГИС ГМП)» - поле заполняется вручную. </w:t>
      </w:r>
      <w:r>
        <w:rPr>
          <w:rFonts w:ascii="Times New Roman" w:hAnsi="Times New Roman" w:cs="Times New Roman"/>
        </w:rPr>
        <w:t xml:space="preserve">Обязательно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заполнения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Обратите внимание, что данные полей 24-25 выводятся в печатную версию квитанции начисления. </w: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Вы можете сохранить заполненное начисление в базе для дальнейшего использования в качестве образца.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12027"/>
                <wp:effectExtent l="0" t="0" r="0" b="0"/>
                <wp:docPr id="11" name="Рисунок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02782" cy="21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5.8pt;height:16.7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(сохранить как шаблон) в верхней части формы. В открывшемся окне введите название шаблона и выберите его тип: Личный (доступен только для создавшего сотрудника) или Общий (доступен для всех сотрудников ведомства). </w:t>
      </w:r>
      <w:r>
        <w:rPr>
          <w:rFonts w:ascii="Times New Roman" w:hAnsi="Times New Roman" w:cs="Times New Roman"/>
        </w:rPr>
        <w:t xml:space="preserve"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завершении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нажмите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 xml:space="preserve">Сохранить</w:t>
      </w:r>
      <w:r>
        <w:rPr>
          <w:rFonts w:ascii="Times New Roman" w:hAnsi="Times New Roman" w:cs="Times New Roman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60520" cy="1882140"/>
                <wp:effectExtent l="0" t="0" r="0" b="3810"/>
                <wp:docPr id="12" name="Рисунок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858" t="3976" r="1477" b="3087"/>
                        <a:stretch/>
                      </pic:blipFill>
                      <pic:spPr bwMode="auto">
                        <a:xfrm>
                          <a:off x="0" y="0"/>
                          <a:ext cx="4160519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27.6pt;height:148.2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Создание шаблона начисления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дальнейшем, для использования сохраненного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7645" cy="195892"/>
                <wp:effectExtent l="0" t="0" r="1905" b="0"/>
                <wp:docPr id="13" name="Рисунок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11471" cy="19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6.3pt;height:15.4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(заполнить из шаблона), отметьте тип шаблона и выберите необходимый из списка. После этого нажмите «</w:t>
      </w:r>
      <w:r>
        <w:rPr>
          <w:rFonts w:ascii="Times New Roman" w:hAnsi="Times New Roman" w:cs="Times New Roman"/>
          <w:lang w:val="ru-RU"/>
        </w:rPr>
        <w:t xml:space="preserve">Заполнить</w:t>
      </w:r>
      <w:r>
        <w:rPr>
          <w:rFonts w:ascii="Times New Roman" w:hAnsi="Times New Roman" w:cs="Times New Roman"/>
          <w:lang w:val="ru-RU"/>
        </w:rPr>
        <w:t xml:space="preserve">» - все данные, сохраненные в шаблоне, появятся в соответствующих полях формы.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01667" cy="2057400"/>
                <wp:effectExtent l="0" t="0" r="8890" b="0"/>
                <wp:docPr id="14" name="Рисунок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1125" t="3134" r="828" b="1754"/>
                        <a:stretch/>
                      </pic:blipFill>
                      <pic:spPr bwMode="auto">
                        <a:xfrm>
                          <a:off x="0" y="0"/>
                          <a:ext cx="4613888" cy="2062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2.3pt;height:162.0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32" w:name="_Ref62041919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116</w:t>
      </w:r>
      <w:r>
        <w:rPr>
          <w:sz w:val="24"/>
          <w:szCs w:val="24"/>
        </w:rPr>
        <w:fldChar w:fldCharType="end"/>
      </w:r>
      <w:bookmarkEnd w:id="32"/>
      <w:r>
        <w:rPr>
          <w:sz w:val="24"/>
          <w:szCs w:val="24"/>
        </w:rPr>
        <w:t xml:space="preserve">. Применение шаблона.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удаления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81940"/>
                <wp:effectExtent l="0" t="0" r="0" b="3810"/>
                <wp:docPr id="15" name="Рисунок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7.0pt;height:22.2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рядом с его названием в списке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62041919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116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 и подтвердите удаление в открывшемся окне.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заполнения всех полей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0" cy="183232"/>
                <wp:effectExtent l="0" t="0" r="0" b="7620"/>
                <wp:docPr id="16" name="Рисунок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232300" cy="185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96.0pt;height:14.4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для отправки в ГИС ГМП. По завершении обработки начисление появится в рабочем поле раздела. При необходимости выдачи плательщику квитанции на оплату, сформируйте её, открыв форму начисления и нажав на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00025"/>
                <wp:effectExtent l="0" t="0" r="9525" b="9525"/>
                <wp:docPr id="17" name="Рисунок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5.8pt;height:15.8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62041891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117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отмены создания начисления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120" cy="190500"/>
                <wp:effectExtent l="0" t="0" r="0" b="0"/>
                <wp:docPr id="18" name="Рисунок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91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5.6pt;height:15.0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 в системе предусмотрена возможность сохранения начисления </w:t>
      </w:r>
      <w:r>
        <w:rPr>
          <w:rFonts w:ascii="Times New Roman" w:hAnsi="Times New Roman" w:cs="Times New Roman"/>
          <w:u w:val="single"/>
          <w:lang w:val="ru-RU"/>
        </w:rPr>
        <w:t xml:space="preserve">без отправки в ГИС ГМП</w:t>
      </w:r>
      <w:r>
        <w:rPr>
          <w:rFonts w:ascii="Times New Roman" w:hAnsi="Times New Roman" w:cs="Times New Roman"/>
          <w:lang w:val="ru-RU"/>
        </w:rPr>
        <w:t xml:space="preserve"> (например, при необходимости уточнения информации). Для этого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13360"/>
                <wp:effectExtent l="0" t="0" r="0" b="0"/>
                <wp:docPr id="19" name="Рисунок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7239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7.0pt;height:16.8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внизу формы. По завершении обработки начисление появится в рабочем поле раздела со статусом «</w:t>
      </w:r>
      <w:r>
        <w:rPr>
          <w:rFonts w:ascii="Times New Roman" w:hAnsi="Times New Roman" w:cs="Times New Roman"/>
          <w:i/>
          <w:lang w:val="ru-RU"/>
        </w:rPr>
        <w:t xml:space="preserve">Создано</w:t>
      </w:r>
      <w:r>
        <w:rPr>
          <w:rFonts w:ascii="Times New Roman" w:hAnsi="Times New Roman" w:cs="Times New Roman"/>
          <w:lang w:val="ru-RU"/>
        </w:rPr>
        <w:t xml:space="preserve">». Чтобы в дальнейшем отправить такое начисление в ГИС ГМП, откройте форму начисления</w:t>
      </w:r>
      <w:r>
        <w:rPr>
          <w:rFonts w:ascii="Times New Roman" w:hAnsi="Times New Roman" w:cs="Times New Roman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 нажмите на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3420" cy="205740"/>
                <wp:effectExtent l="0" t="0" r="0" b="3810"/>
                <wp:docPr id="20" name="Рисунок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934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4.6pt;height:16.2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нижней части формы: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6187440"/>
                <wp:effectExtent l="0" t="0" r="7620" b="3810"/>
                <wp:docPr id="21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26480" cy="618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2.4pt;height:487.2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33" w:name="_Ref62041891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117</w:t>
      </w:r>
      <w:r>
        <w:rPr>
          <w:sz w:val="24"/>
          <w:szCs w:val="24"/>
        </w:rPr>
        <w:fldChar w:fldCharType="end"/>
      </w:r>
      <w:bookmarkEnd w:id="33"/>
      <w:r>
        <w:rPr>
          <w:sz w:val="24"/>
          <w:szCs w:val="24"/>
        </w:rPr>
        <w:t xml:space="preserve">. Отправка начисления из его формы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необходимости удаления неотправленного начисления (только со статусом «</w:t>
      </w:r>
      <w:r>
        <w:rPr>
          <w:rFonts w:ascii="Times New Roman" w:hAnsi="Times New Roman" w:cs="Times New Roman"/>
          <w:i/>
          <w:lang w:val="ru-RU"/>
        </w:rPr>
        <w:t xml:space="preserve">Создано</w:t>
      </w:r>
      <w:r>
        <w:rPr>
          <w:rFonts w:ascii="Times New Roman" w:hAnsi="Times New Roman" w:cs="Times New Roman"/>
          <w:lang w:val="ru-RU"/>
        </w:rPr>
        <w:t xml:space="preserve">»)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" cy="266700"/>
                <wp:effectExtent l="0" t="0" r="7620" b="0"/>
                <wp:docPr id="22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447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1.4pt;height:21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«Удалить»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219075"/>
                <wp:effectExtent l="0" t="0" r="9525" b="9525"/>
                <wp:docPr id="23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4058" cy="21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2.8pt;height:17.2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форме, после чего подтвердите удаление в появившемся окне.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34" w:name="_Toc62549526"/>
      <w:r/>
      <w:bookmarkStart w:id="35" w:name="_Toc62467448"/>
      <w:r/>
      <w:bookmarkStart w:id="36" w:name="_Toc61969145"/>
      <w:r/>
      <w:bookmarkStart w:id="37" w:name="_Toc21430786"/>
      <w:r/>
      <w:bookmarkStart w:id="38" w:name="_Toc532294104"/>
      <w:r/>
      <w:bookmarkStart w:id="39" w:name="_Toc62549816"/>
      <w:r/>
      <w:bookmarkStart w:id="40" w:name="_Toc66901439"/>
      <w:r/>
      <w:bookmarkStart w:id="41" w:name="_Toc69295832"/>
      <w:r>
        <w:t xml:space="preserve">Дублирование начислений</w:t>
      </w:r>
      <w:bookmarkEnd w:id="34"/>
      <w:r/>
      <w:bookmarkEnd w:id="35"/>
      <w:r/>
      <w:bookmarkEnd w:id="36"/>
      <w:r/>
      <w:bookmarkEnd w:id="37"/>
      <w:r/>
      <w:bookmarkEnd w:id="38"/>
      <w:r/>
      <w:bookmarkEnd w:id="39"/>
      <w:r/>
      <w:bookmarkEnd w:id="40"/>
      <w:r/>
      <w:bookmarkEnd w:id="41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требуется создать начисление с теми же данными, что у одного из ранее созданных начислений, то воспользуйтесь функцией дублирования. Для этого выберите необходимое ранее созданное начисление (доступно при любом его статусе),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540" cy="243840"/>
                <wp:effectExtent l="0" t="0" r="3810" b="3810"/>
                <wp:docPr id="24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295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0.2pt;height:19.2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«Дублировать»,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243840"/>
                <wp:effectExtent l="0" t="0" r="0" b="3810"/>
                <wp:docPr id="25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8.0pt;height:19.2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 начисления.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этого произойдет открытие формы нового начисления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42" w:name="_Toc62549527"/>
      <w:r/>
      <w:bookmarkStart w:id="43" w:name="_Toc62467449"/>
      <w:r/>
      <w:bookmarkStart w:id="44" w:name="_Toc61969146"/>
      <w:r/>
      <w:bookmarkStart w:id="45" w:name="_Toc21430787"/>
      <w:r/>
      <w:bookmarkStart w:id="46" w:name="_Toc532294105"/>
      <w:r/>
      <w:bookmarkStart w:id="47" w:name="_Toc62549817"/>
      <w:r/>
      <w:bookmarkStart w:id="48" w:name="_Toc66901440"/>
      <w:r/>
      <w:bookmarkStart w:id="49" w:name="_Toc69295833"/>
      <w:r>
        <w:t xml:space="preserve">Проверка и квитирование начислений</w:t>
      </w:r>
      <w:bookmarkEnd w:id="42"/>
      <w:r/>
      <w:bookmarkEnd w:id="43"/>
      <w:r/>
      <w:bookmarkEnd w:id="44"/>
      <w:r/>
      <w:bookmarkEnd w:id="45"/>
      <w:r/>
      <w:bookmarkEnd w:id="46"/>
      <w:r/>
      <w:bookmarkEnd w:id="47"/>
      <w:r/>
      <w:bookmarkEnd w:id="48"/>
      <w:r/>
      <w:bookmarkEnd w:id="49"/>
      <w:r/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После поступления начисления в ГИС ГМП оно проходит проверку на соответствие установленным стандартам (например, корректность КПП и пр.). </w:t>
      </w:r>
      <w:r>
        <w:rPr>
          <w:rFonts w:ascii="Times New Roman" w:hAnsi="Times New Roman" w:cs="Times New Roman"/>
        </w:rPr>
        <w:t xml:space="preserve"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этом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статус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начисления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изменяется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i/>
        </w:rPr>
        <w:t xml:space="preserve">Валидируется</w:t>
      </w:r>
      <w:r>
        <w:rPr>
          <w:rFonts w:ascii="Times New Roman" w:hAnsi="Times New Roman" w:cs="Times New Roman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1240" cy="609600"/>
                <wp:effectExtent l="0" t="0" r="3810" b="0"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112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1.2pt;height:48.0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50" w:name="_Ref62041649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118</w:t>
      </w:r>
      <w:r>
        <w:rPr>
          <w:sz w:val="24"/>
          <w:szCs w:val="24"/>
        </w:rPr>
        <w:fldChar w:fldCharType="end"/>
      </w:r>
      <w:bookmarkEnd w:id="50"/>
      <w:r>
        <w:rPr>
          <w:sz w:val="24"/>
          <w:szCs w:val="24"/>
        </w:rPr>
        <w:t xml:space="preserve">. Начисление в статусе «</w:t>
      </w:r>
      <w:r>
        <w:rPr>
          <w:sz w:val="24"/>
          <w:szCs w:val="24"/>
        </w:rPr>
        <w:t xml:space="preserve">Валидируется</w:t>
      </w:r>
      <w:r>
        <w:rPr>
          <w:sz w:val="24"/>
          <w:szCs w:val="24"/>
        </w:rPr>
        <w:t xml:space="preserve">»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Начисление в данном статусе возможно только дублировать,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4300" cy="236220"/>
                <wp:effectExtent l="0" t="0" r="0" b="0"/>
                <wp:docPr id="27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143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9.0pt;height:18.6pt;mso-wrap-distance-left:0.0pt;mso-wrap-distance-top:0.0pt;mso-wrap-distance-right:0.0pt;mso-wrap-distance-bottom:0.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начисления и выберите «Дублировать»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62041649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118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По завершении обработки (при поступлении ответа от ГИС ГМП) система выдаст результаты и изменит статус начисления:</w:t>
      </w:r>
      <w:r/>
    </w:p>
    <w:p>
      <w:pPr>
        <w:pStyle w:val="724"/>
        <w:numPr>
          <w:ilvl w:val="0"/>
          <w:numId w:val="11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i/>
          <w:lang w:val="ru-RU"/>
        </w:rPr>
        <w:t xml:space="preserve">Невалидный</w:t>
      </w:r>
      <w:r>
        <w:rPr>
          <w:rFonts w:ascii="Times New Roman" w:hAnsi="Times New Roman" w:cs="Times New Roman"/>
          <w:lang w:val="ru-RU"/>
        </w:rPr>
        <w:t xml:space="preserve">» - статус означает, что какой-либо из атрибутов начисления не соответствует установленным стандартам. Для детальной информации откройте форму начисления – причина непрохождения проверки будет указана красным шрифтом в заголовке: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1540" cy="1272540"/>
                <wp:effectExtent l="0" t="0" r="3810" b="3810"/>
                <wp:docPr id="28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7015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70.2pt;height:100.2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119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Невалидное</w:t>
      </w:r>
      <w:r>
        <w:rPr>
          <w:sz w:val="24"/>
          <w:szCs w:val="24"/>
        </w:rPr>
        <w:t xml:space="preserve"> начисление (на примере некорректного ОКТМО)</w: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В этом случае необходимо исправить указанное несоответствие и после этого повторно отправить начисление (см. в п.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484620240 \</w:instrText>
      </w:r>
      <w:r>
        <w:rPr>
          <w:rFonts w:ascii="Times New Roman" w:hAnsi="Times New Roman" w:cs="Times New Roman"/>
        </w:rPr>
        <w:instrText xml:space="preserve">r</w:instrText>
      </w:r>
      <w:r>
        <w:rPr>
          <w:rFonts w:ascii="Times New Roman" w:hAnsi="Times New Roman" w:cs="Times New Roman"/>
          <w:lang w:val="ru-RU"/>
        </w:rPr>
        <w:instrText xml:space="preserve">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 xml:space="preserve">8.1.2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).</w:t>
      </w:r>
      <w:r/>
    </w:p>
    <w:p>
      <w:pPr>
        <w:pStyle w:val="724"/>
        <w:numPr>
          <w:ilvl w:val="0"/>
          <w:numId w:val="11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 - начисление прошло проверку и ожидает квитирования.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Квитирование начислений</w:t>
      </w:r>
      <w:r>
        <w:rPr>
          <w:rFonts w:ascii="Times New Roman" w:hAnsi="Times New Roman" w:cs="Times New Roman"/>
          <w:lang w:val="ru-RU"/>
        </w:rPr>
        <w:t xml:space="preserve"> с платежами происходит автоматически. Система на постоянной основе подгружает данные платежей из ГИС ГМП и сопоставляет их с созданными начислениями.</w:t>
      </w:r>
      <w:r/>
    </w:p>
    <w:p>
      <w:pPr>
        <w:pStyle w:val="724"/>
        <w:numPr>
          <w:ilvl w:val="0"/>
          <w:numId w:val="12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При успешном квитировании статус начисления изменяется на «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 Для просмотра совершенного по этому начислению платежа (платежей), нажмите на кнопку «Платежи» в меню действий раздела (кнопка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540" cy="243840"/>
                <wp:effectExtent l="0" t="0" r="3810" b="3810"/>
                <wp:docPr id="29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295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0.2pt;height:19.2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начисления) или внизу формы самого начисления. </w:t>
      </w:r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открывшемся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окне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будут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указаны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сведения</w:t>
      </w:r>
      <w:r>
        <w:rPr>
          <w:rFonts w:ascii="Times New Roman" w:hAnsi="Times New Roman" w:cs="Times New Roman"/>
        </w:rPr>
        <w:t xml:space="preserve"> о </w:t>
      </w:r>
      <w:r>
        <w:rPr>
          <w:rFonts w:ascii="Times New Roman" w:hAnsi="Times New Roman" w:cs="Times New Roman"/>
        </w:rPr>
        <w:t xml:space="preserve">произведенном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платеже</w:t>
      </w:r>
      <w:r>
        <w:rPr>
          <w:rFonts w:ascii="Times New Roman" w:hAnsi="Times New Roman" w:cs="Times New Roman"/>
        </w:rPr>
        <w:t xml:space="preserve">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1242060"/>
                <wp:effectExtent l="0" t="0" r="7620" b="0"/>
                <wp:docPr id="30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264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2.4pt;height:97.8pt;mso-wrap-distance-left:0.0pt;mso-wrap-distance-top:0.0pt;mso-wrap-distance-right:0.0pt;mso-wrap-distance-bottom:0.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Просмотр совершенных по начислению платежей</w:t>
      </w:r>
      <w:r/>
    </w:p>
    <w:p>
      <w:pPr>
        <w:pStyle w:val="724"/>
        <w:ind w:firstLine="72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Обратите внимание, что по одному начислению может быть совершено несколько платежей, но совершение одного платежа для нескольких начислений недопустимо.</w:t>
      </w:r>
      <w:r/>
    </w:p>
    <w:p>
      <w:pPr>
        <w:pStyle w:val="724"/>
        <w:numPr>
          <w:ilvl w:val="0"/>
          <w:numId w:val="12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Если начисление было оплачено не полностью, т.е. сумма зарегистрированных в ГИС ГМП платежей меньше суммы начисления, то статус изменится на «</w:t>
      </w:r>
      <w:r>
        <w:rPr>
          <w:rFonts w:ascii="Times New Roman" w:hAnsi="Times New Roman" w:cs="Times New Roman"/>
          <w:i/>
          <w:lang w:val="ru-RU"/>
        </w:rPr>
        <w:t xml:space="preserve">Частично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 При этом в столбце «Остаток» будет указана неоплаченная сумма по начислению </w:t>
      </w:r>
      <w:r>
        <w:rPr>
          <w:rFonts w:ascii="Times New Roman" w:hAnsi="Times New Roman" w:cs="Times New Roman"/>
        </w:rPr>
        <w:t xml:space="preserve">(у </w:t>
      </w:r>
      <w:r>
        <w:rPr>
          <w:rFonts w:ascii="Times New Roman" w:hAnsi="Times New Roman" w:cs="Times New Roman"/>
        </w:rPr>
        <w:t xml:space="preserve">полностью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сквитированных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начислений</w:t>
      </w:r>
      <w:r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 xml:space="preserve">остатке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указывается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0.00</w:t>
      </w:r>
      <w:r>
        <w:rPr>
          <w:rFonts w:ascii="Times New Roman" w:hAnsi="Times New Roman" w:cs="Times New Roman"/>
        </w:rPr>
        <w:t xml:space="preserve">):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441960"/>
                <wp:effectExtent l="0" t="0" r="0" b="0"/>
                <wp:docPr id="31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188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1.8pt;height:34.8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Платеж </w:t>
      </w:r>
      <w:r>
        <w:rPr>
          <w:sz w:val="24"/>
          <w:szCs w:val="24"/>
        </w:rPr>
        <w:t xml:space="preserve">сквитирован</w:t>
      </w:r>
      <w:r>
        <w:rPr>
          <w:sz w:val="24"/>
          <w:szCs w:val="24"/>
        </w:rPr>
        <w:t xml:space="preserve"> частично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Просмотр платежей аналогичен предыдущему пункту.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необходимости можно провести проверку статуса начисления в ГИС ГМП на предмет совершения дополнительных платежей. Для этого нажмите «Проверка статуса» в меню действий раздела (кнопка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3820" cy="228600"/>
                <wp:effectExtent l="0" t="0" r="0" b="0"/>
                <wp:docPr id="32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838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6.6pt;height:18.0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начисления) или внизу формы самого начисления. По начислениям в данном статусе так же доступны следующие действия через меню действия раздела: «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», «Платежи», «Дублировать», «Отмена квитирования». </w:t>
      </w:r>
      <w:r/>
    </w:p>
    <w:p>
      <w:pPr>
        <w:pStyle w:val="724"/>
        <w:numPr>
          <w:ilvl w:val="0"/>
          <w:numId w:val="12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платеж по начислению по какой-то причине не найден/не поступил в ГИС ГМП (например, сбой или плательщик совершил платеж в банке, не присоединенном к ГИС ГМП), то оно остается в статусе «Не </w:t>
      </w:r>
      <w:r>
        <w:rPr>
          <w:rFonts w:ascii="Times New Roman" w:hAnsi="Times New Roman" w:cs="Times New Roman"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 В этом случае необходимо провести проверку статуса начисления (см. предыдущий пункт). 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отсутствии изменений проведите квитирование самостоятельно - для этого нажмите «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» в меню действий раздела или в нижней части формы начисления. В открывшемся окне будут находиться данные по всем платежам, имеющимся на текущий момент в системе: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43500" cy="4394073"/>
                <wp:effectExtent l="0" t="0" r="0" b="6985"/>
                <wp:docPr id="33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146461" cy="439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05.0pt;height:346.0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Квитирование начисления</w: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Для поиска платежа воспользуйтесь строкой поиска либо фильтрацией по дате. </w:t>
      </w:r>
      <w:r>
        <w:rPr>
          <w:rFonts w:ascii="Times New Roman" w:hAnsi="Times New Roman" w:cs="Times New Roman"/>
        </w:rPr>
        <w:t xml:space="preserve"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просмотра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детальной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информации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строку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интересующего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платежа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numPr>
          <w:ilvl w:val="0"/>
          <w:numId w:val="11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платеж(и) найден(ы) в списке, то отметьте </w:t>
      </w:r>
      <w:r>
        <w:rPr>
          <w:rFonts w:ascii="Times New Roman" w:hAnsi="Times New Roman" w:cs="Times New Roman"/>
          <w:lang w:val="ru-RU"/>
        </w:rPr>
        <w:t xml:space="preserve">чекбокс</w:t>
      </w:r>
      <w:r>
        <w:rPr>
          <w:rFonts w:ascii="Times New Roman" w:hAnsi="Times New Roman" w:cs="Times New Roman"/>
          <w:lang w:val="ru-RU"/>
        </w:rPr>
        <w:t xml:space="preserve"> рядом с ним(и) и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3420" cy="160020"/>
                <wp:effectExtent l="0" t="0" r="0" b="0"/>
                <wp:docPr id="34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934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4.6pt;height:12.6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 По завершении обработки статус начисления изменится на «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 либо «</w:t>
      </w:r>
      <w:r>
        <w:rPr>
          <w:rFonts w:ascii="Times New Roman" w:hAnsi="Times New Roman" w:cs="Times New Roman"/>
          <w:i/>
          <w:lang w:val="ru-RU"/>
        </w:rPr>
        <w:t xml:space="preserve">Частично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 (если сумма платежей меньше суммы начисления).</w:t>
      </w:r>
      <w:r/>
    </w:p>
    <w:p>
      <w:pPr>
        <w:pStyle w:val="724"/>
        <w:numPr>
          <w:ilvl w:val="0"/>
          <w:numId w:val="11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Если платеж в списке НЕ найден, а у плательщика на руках есть квитанция об оплате, то нажмите «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 без платежа</w:t>
      </w:r>
      <w:r>
        <w:rPr>
          <w:rFonts w:ascii="Times New Roman" w:hAnsi="Times New Roman" w:cs="Times New Roman"/>
          <w:lang w:val="ru-RU"/>
        </w:rPr>
        <w:t xml:space="preserve">». </w:t>
      </w:r>
      <w:r>
        <w:rPr>
          <w:rFonts w:ascii="Times New Roman" w:hAnsi="Times New Roman" w:cs="Times New Roman"/>
        </w:rPr>
        <w:t xml:space="preserve"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завершении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обработки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статус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начисления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изменится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i/>
        </w:rPr>
        <w:t xml:space="preserve">Сквитировано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вручную</w:t>
      </w:r>
      <w:r>
        <w:rPr>
          <w:rFonts w:ascii="Times New Roman" w:hAnsi="Times New Roman" w:cs="Times New Roman"/>
        </w:rPr>
        <w:t xml:space="preserve">»: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51" w:name="_Toc62549528"/>
      <w:r/>
      <w:bookmarkStart w:id="52" w:name="_Toc62467450"/>
      <w:r/>
      <w:bookmarkStart w:id="53" w:name="_Toc61969147"/>
      <w:r/>
      <w:bookmarkStart w:id="54" w:name="_Toc21430788"/>
      <w:r/>
      <w:bookmarkStart w:id="55" w:name="_Toc532294106"/>
      <w:r/>
      <w:bookmarkStart w:id="56" w:name="_Toc62549818"/>
      <w:r/>
      <w:bookmarkStart w:id="57" w:name="_Toc66901441"/>
      <w:r/>
      <w:bookmarkStart w:id="58" w:name="_Toc69295834"/>
      <w:r>
        <w:t xml:space="preserve">Аннулирование и </w:t>
      </w:r>
      <w:r>
        <w:t xml:space="preserve">деаннулирование</w:t>
      </w:r>
      <w:r>
        <w:t xml:space="preserve"> начислений</w:t>
      </w:r>
      <w:bookmarkEnd w:id="51"/>
      <w:r/>
      <w:bookmarkEnd w:id="52"/>
      <w:r/>
      <w:bookmarkEnd w:id="53"/>
      <w:r/>
      <w:bookmarkEnd w:id="54"/>
      <w:r/>
      <w:bookmarkEnd w:id="55"/>
      <w:r/>
      <w:bookmarkEnd w:id="56"/>
      <w:r/>
      <w:bookmarkEnd w:id="57"/>
      <w:r/>
      <w:bookmarkEnd w:id="58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Удаление начисления возможно только в случае, если оно не отправлено в ГИС ГМП (статус «</w:t>
      </w:r>
      <w:r>
        <w:rPr>
          <w:rFonts w:ascii="Times New Roman" w:hAnsi="Times New Roman" w:cs="Times New Roman"/>
          <w:i/>
          <w:lang w:val="ru-RU"/>
        </w:rPr>
        <w:t xml:space="preserve">Создано</w:t>
      </w:r>
      <w:r>
        <w:rPr>
          <w:rFonts w:ascii="Times New Roman" w:hAnsi="Times New Roman" w:cs="Times New Roman"/>
          <w:lang w:val="ru-RU"/>
        </w:rPr>
        <w:t xml:space="preserve">» - подробнее в п.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484620240 \</w:instrText>
      </w:r>
      <w:r>
        <w:rPr>
          <w:rFonts w:ascii="Times New Roman" w:hAnsi="Times New Roman" w:cs="Times New Roman"/>
        </w:rPr>
        <w:instrText xml:space="preserve">r</w:instrText>
      </w:r>
      <w:r>
        <w:rPr>
          <w:rFonts w:ascii="Times New Roman" w:hAnsi="Times New Roman" w:cs="Times New Roman"/>
          <w:lang w:val="ru-RU"/>
        </w:rPr>
        <w:instrText xml:space="preserve">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8.1.2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Когда начисление уже отправлено в ГИС ГМП и прошло валидацию (статус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»), то его можно только аннулировать.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13360"/>
                <wp:effectExtent l="0" t="0" r="0" b="0"/>
                <wp:docPr id="35" name="Рисунок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19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9.6pt;height:16.8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начисления и выберите «Аннулировать»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62041863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123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Также действие доступно из формы самого начисления через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54380" cy="213360"/>
                <wp:effectExtent l="0" t="0" r="7620" b="0"/>
                <wp:docPr id="36" name="Рисунок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754379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9.4pt;height:16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1021080"/>
                <wp:effectExtent l="0" t="0" r="0" b="7620"/>
                <wp:docPr id="3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11886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1.8pt;height:80.4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59" w:name="_Ref62041863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123</w:t>
      </w:r>
      <w:r>
        <w:rPr>
          <w:sz w:val="24"/>
          <w:szCs w:val="24"/>
        </w:rPr>
        <w:fldChar w:fldCharType="end"/>
      </w:r>
      <w:bookmarkEnd w:id="59"/>
      <w:r>
        <w:rPr>
          <w:sz w:val="24"/>
          <w:szCs w:val="24"/>
        </w:rPr>
        <w:t xml:space="preserve">. Кнопка аннулирования начисления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аннулирования и подтвердите действие повторным нажатием кнопки «</w:t>
      </w:r>
      <w:r>
        <w:rPr>
          <w:rFonts w:ascii="Times New Roman" w:hAnsi="Times New Roman" w:cs="Times New Roman"/>
          <w:lang w:val="ru-RU"/>
        </w:rPr>
        <w:t xml:space="preserve">Аннулировать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66160" cy="1386840"/>
                <wp:effectExtent l="0" t="0" r="0" b="3810"/>
                <wp:docPr id="38" name="Рисунок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rcRect l="1202" t="2922" r="1296" b="4531"/>
                        <a:stretch/>
                      </pic:blipFill>
                      <pic:spPr bwMode="auto">
                        <a:xfrm>
                          <a:off x="0" y="0"/>
                          <a:ext cx="356616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280.8pt;height:109.2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Аннулирование начисления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начисления изменится на «</w:t>
      </w:r>
      <w:r>
        <w:rPr>
          <w:rFonts w:ascii="Times New Roman" w:hAnsi="Times New Roman" w:cs="Times New Roman"/>
          <w:i/>
          <w:lang w:val="ru-RU"/>
        </w:rPr>
        <w:t xml:space="preserve">Аннулировано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аннулирование начисления произошло ошибочно, его можно восстановить.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9" name="Рисунок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rcRect l="20589" t="11267" r="26471" b="12674"/>
                        <a:stretch/>
                      </pic:blipFill>
                      <pic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12.0pt;height:12.0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начисления и выберите «</w:t>
      </w:r>
      <w:r>
        <w:rPr>
          <w:rFonts w:ascii="Times New Roman" w:hAnsi="Times New Roman" w:cs="Times New Roman"/>
          <w:lang w:val="ru-RU"/>
        </w:rPr>
        <w:t xml:space="preserve">деаннулировать</w:t>
      </w:r>
      <w:r>
        <w:rPr>
          <w:rFonts w:ascii="Times New Roman" w:hAnsi="Times New Roman" w:cs="Times New Roman"/>
          <w:lang w:val="ru-RU"/>
        </w:rPr>
        <w:t xml:space="preserve">»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62041862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125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). Также действие доступно из формы самого начисления через кнопку «</w:t>
      </w:r>
      <w:r>
        <w:rPr>
          <w:rFonts w:ascii="Times New Roman" w:hAnsi="Times New Roman" w:cs="Times New Roman"/>
          <w:lang w:val="ru-RU"/>
        </w:rPr>
        <w:t xml:space="preserve">Деаннулировать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769620"/>
                <wp:effectExtent l="0" t="0" r="7620" b="0"/>
                <wp:docPr id="40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12648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2.4pt;height:60.6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60" w:name="_Ref62041862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125</w:t>
      </w:r>
      <w:r>
        <w:rPr>
          <w:sz w:val="24"/>
          <w:szCs w:val="24"/>
        </w:rPr>
        <w:fldChar w:fldCharType="end"/>
      </w:r>
      <w:bookmarkEnd w:id="60"/>
      <w:r>
        <w:rPr>
          <w:sz w:val="24"/>
          <w:szCs w:val="24"/>
        </w:rPr>
        <w:t xml:space="preserve">. Кнопка </w:t>
      </w:r>
      <w:r>
        <w:rPr>
          <w:sz w:val="24"/>
          <w:szCs w:val="24"/>
        </w:rPr>
        <w:t xml:space="preserve">деаннулирования</w:t>
      </w:r>
      <w:r>
        <w:rPr>
          <w:sz w:val="24"/>
          <w:szCs w:val="24"/>
        </w:rPr>
        <w:t xml:space="preserve"> начисления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восстановления и нажмите «</w:t>
      </w:r>
      <w:r>
        <w:rPr>
          <w:rFonts w:ascii="Times New Roman" w:hAnsi="Times New Roman" w:cs="Times New Roman"/>
          <w:lang w:val="ru-RU"/>
        </w:rPr>
        <w:t xml:space="preserve">Восстановить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82340" cy="1379220"/>
                <wp:effectExtent l="0" t="0" r="3810" b="0"/>
                <wp:docPr id="41" name="Рисунок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rcRect l="958" t="2356" r="1138" b="2477"/>
                        <a:stretch/>
                      </pic:blipFill>
                      <pic:spPr bwMode="auto">
                        <a:xfrm>
                          <a:off x="0" y="0"/>
                          <a:ext cx="348234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274.2pt;height:108.6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Восстановление начисления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начисления изменится на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6"/>
        <w:numPr>
          <w:ilvl w:val="1"/>
          <w:numId w:val="2"/>
        </w:numPr>
        <w:ind w:left="0" w:firstLine="720"/>
        <w:spacing w:before="0" w:after="0"/>
      </w:pPr>
      <w:r/>
      <w:bookmarkStart w:id="61" w:name="_Toc62549529"/>
      <w:r/>
      <w:bookmarkStart w:id="62" w:name="_Toc62467451"/>
      <w:r/>
      <w:bookmarkStart w:id="63" w:name="_Toc61969148"/>
      <w:r/>
      <w:bookmarkStart w:id="64" w:name="_Toc21430789"/>
      <w:r/>
      <w:bookmarkStart w:id="65" w:name="_Toc532294107"/>
      <w:r/>
      <w:bookmarkStart w:id="66" w:name="_Toc62549819"/>
      <w:r/>
      <w:bookmarkStart w:id="67" w:name="_Toc66901442"/>
      <w:r/>
      <w:bookmarkStart w:id="68" w:name="_Toc69295835"/>
      <w:r>
        <w:t xml:space="preserve">Работа с платежами</w:t>
      </w:r>
      <w:bookmarkEnd w:id="61"/>
      <w:r/>
      <w:bookmarkEnd w:id="62"/>
      <w:r/>
      <w:bookmarkEnd w:id="63"/>
      <w:r/>
      <w:bookmarkEnd w:id="64"/>
      <w:r/>
      <w:bookmarkEnd w:id="65"/>
      <w:r/>
      <w:bookmarkEnd w:id="66"/>
      <w:r/>
      <w:bookmarkEnd w:id="67"/>
      <w:r>
        <w:t xml:space="preserve">. </w:t>
      </w:r>
      <w:r>
        <w:rPr>
          <w:u w:val="single"/>
        </w:rPr>
        <w:t xml:space="preserve">ГИС</w:t>
      </w:r>
      <w:r>
        <w:rPr>
          <w:sz w:val="24"/>
          <w:szCs w:val="24"/>
          <w:u w:val="single"/>
        </w:rPr>
        <w:t xml:space="preserve"> </w:t>
      </w:r>
      <w:r>
        <w:rPr>
          <w:u w:val="single"/>
        </w:rPr>
        <w:t xml:space="preserve">ГМП Администратор начислений</w:t>
      </w:r>
      <w:bookmarkEnd w:id="68"/>
      <w:r/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69" w:name="_Toc62549530"/>
      <w:r/>
      <w:bookmarkStart w:id="70" w:name="_Toc62467452"/>
      <w:r/>
      <w:bookmarkStart w:id="71" w:name="_Toc61969149"/>
      <w:r/>
      <w:bookmarkStart w:id="72" w:name="_Toc21430790"/>
      <w:r/>
      <w:bookmarkStart w:id="73" w:name="_Toc532294108"/>
      <w:r/>
      <w:bookmarkStart w:id="74" w:name="_Toc62549820"/>
      <w:r/>
      <w:bookmarkStart w:id="75" w:name="_Toc66901443"/>
      <w:r/>
      <w:bookmarkStart w:id="76" w:name="_Toc69295836"/>
      <w:r>
        <w:t xml:space="preserve">Описание раздела</w:t>
      </w:r>
      <w:bookmarkEnd w:id="69"/>
      <w:r/>
      <w:bookmarkEnd w:id="70"/>
      <w:r/>
      <w:bookmarkEnd w:id="71"/>
      <w:r/>
      <w:bookmarkEnd w:id="72"/>
      <w:r/>
      <w:bookmarkEnd w:id="73"/>
      <w:r/>
      <w:bookmarkEnd w:id="74"/>
      <w:r/>
      <w:bookmarkEnd w:id="75"/>
      <w:r/>
      <w:bookmarkEnd w:id="76"/>
      <w:r/>
      <w:r/>
    </w:p>
    <w:p>
      <w:pPr>
        <w:pStyle w:val="724"/>
        <w:ind w:firstLine="720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u w:val="single"/>
          <w:lang w:val="ru-RU"/>
        </w:rPr>
        <w:t xml:space="preserve">Для работы с платежами </w:t>
      </w:r>
      <w:r>
        <w:rPr>
          <w:rFonts w:ascii="Times New Roman" w:hAnsi="Times New Roman" w:cs="Times New Roman"/>
          <w:u w:val="single"/>
          <w:lang w:val="ru-RU"/>
        </w:rPr>
        <w:t xml:space="preserve">с полномочиями Администратора начислений необходимо </w:t>
      </w:r>
      <w:r>
        <w:rPr>
          <w:rFonts w:ascii="Times New Roman" w:hAnsi="Times New Roman" w:cs="Times New Roman"/>
          <w:u w:val="single"/>
          <w:lang w:val="ru-RU"/>
        </w:rPr>
        <w:t xml:space="preserve">назначить пользователю </w:t>
      </w:r>
      <w:r>
        <w:rPr>
          <w:rFonts w:ascii="Times New Roman" w:hAnsi="Times New Roman" w:cs="Times New Roman"/>
          <w:u w:val="single"/>
          <w:lang w:val="ru-RU"/>
        </w:rPr>
        <w:t xml:space="preserve">роль </w:t>
      </w:r>
      <w:r>
        <w:rPr>
          <w:rFonts w:ascii="Times New Roman" w:hAnsi="Times New Roman" w:cs="Times New Roman"/>
          <w:u w:val="single"/>
          <w:lang w:val="ru-RU"/>
        </w:rPr>
        <w:t xml:space="preserve">«ГИС </w:t>
      </w:r>
      <w:r>
        <w:rPr>
          <w:rFonts w:ascii="Times New Roman" w:hAnsi="Times New Roman" w:cs="Times New Roman"/>
          <w:u w:val="single"/>
          <w:lang w:val="ru-RU"/>
        </w:rPr>
        <w:t xml:space="preserve">ГМП Администратор начислений».</w:t>
      </w:r>
      <w:r>
        <w:rPr>
          <w:rFonts w:ascii="Times New Roman" w:hAnsi="Times New Roman" w:cs="Times New Roman"/>
          <w:lang w:val="ru-RU"/>
        </w:rPr>
        <w:t xml:space="preserve"> 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работы с платежами перейдите в «ГИС ГМП» и выберите подраздел «Платежи»: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2484120"/>
                <wp:effectExtent l="0" t="0" r="0" b="0"/>
                <wp:docPr id="42" name="Рисунок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118860" cy="248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1.8pt;height:195.6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Подраздел «Платежи»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Подраздел состоит из следующих элементов:</w:t>
      </w:r>
      <w:r/>
    </w:p>
    <w:p>
      <w:pPr>
        <w:pStyle w:val="724"/>
        <w:numPr>
          <w:ilvl w:val="0"/>
          <w:numId w:val="14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Рабочее поле раздела – содержит краткую информацию о платежах и меню действий над ними (для открытия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" cy="175260"/>
                <wp:effectExtent l="0" t="0" r="3810" b="0"/>
                <wp:docPr id="43" name="Рисунок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914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7.2pt;height:13.8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»). </w:t>
      </w:r>
      <w:r/>
    </w:p>
    <w:p>
      <w:pPr>
        <w:pStyle w:val="724"/>
        <w:numPr>
          <w:ilvl w:val="0"/>
          <w:numId w:val="14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экспорта</w:t>
      </w:r>
      <w:r>
        <w:rPr>
          <w:rFonts w:ascii="Times New Roman" w:hAnsi="Times New Roman" w:cs="Times New Roman"/>
        </w:rPr>
        <w:t xml:space="preserve">/</w:t>
      </w:r>
      <w:r>
        <w:rPr>
          <w:rFonts w:ascii="Times New Roman" w:hAnsi="Times New Roman" w:cs="Times New Roman"/>
        </w:rPr>
        <w:t xml:space="preserve">импорта</w:t>
      </w:r>
      <w:r>
        <w:rPr>
          <w:rFonts w:ascii="Times New Roman" w:hAnsi="Times New Roman" w:cs="Times New Roman"/>
        </w:rPr>
        <w:t xml:space="preserve">:</w:t>
      </w:r>
      <w:r/>
    </w:p>
    <w:p>
      <w:pPr>
        <w:pStyle w:val="724"/>
        <w:numPr>
          <w:ilvl w:val="0"/>
          <w:numId w:val="4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9150" cy="206351"/>
                <wp:effectExtent l="0" t="0" r="0" b="3810"/>
                <wp:docPr id="44" name="Рисунок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828765" cy="208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64.5pt;height:16.2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  <w:r/>
    </w:p>
    <w:p>
      <w:pPr>
        <w:pStyle w:val="724"/>
        <w:numPr>
          <w:ilvl w:val="0"/>
          <w:numId w:val="4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1075" cy="190083"/>
                <wp:effectExtent l="0" t="0" r="0" b="635"/>
                <wp:docPr id="45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1000261" cy="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77.2pt;height:15.0pt;mso-wrap-distance-left:0.0pt;mso-wrap-distance-top:0.0pt;mso-wrap-distance-right:0.0pt;mso-wrap-distance-bottom:0.0pt;" stroked="f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принудительный запрос информации о платежах из ГИС ГМП. В появившемся окне выберите интересующий период и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00" cy="157655"/>
                <wp:effectExtent l="0" t="0" r="0" b="0"/>
                <wp:docPr id="46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59662" cy="158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6.0pt;height:12.4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numPr>
          <w:ilvl w:val="0"/>
          <w:numId w:val="14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Строка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поиска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4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Переключатель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страниц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77" w:name="_Toc532294109"/>
      <w:r/>
      <w:bookmarkStart w:id="78" w:name="_Toc35589925"/>
      <w:r/>
      <w:bookmarkStart w:id="79" w:name="_Toc56087137"/>
      <w:r/>
      <w:bookmarkStart w:id="80" w:name="_Toc58252669"/>
      <w:r/>
      <w:bookmarkStart w:id="81" w:name="_Toc69295837"/>
      <w:r>
        <w:t xml:space="preserve">Просмотр платежей</w:t>
      </w:r>
      <w:bookmarkEnd w:id="77"/>
      <w:r/>
      <w:bookmarkEnd w:id="78"/>
      <w:r/>
      <w:bookmarkEnd w:id="79"/>
      <w:r/>
      <w:bookmarkEnd w:id="80"/>
      <w:r/>
      <w:bookmarkEnd w:id="81"/>
      <w:r/>
      <w:r/>
    </w:p>
    <w:p>
      <w:pPr>
        <w:pStyle w:val="724"/>
        <w:rPr>
          <w:lang w:val="ru-RU"/>
        </w:rPr>
      </w:pPr>
      <w:r>
        <w:rPr>
          <w:lang w:val="ru-RU"/>
        </w:rPr>
        <w:t xml:space="preserve">Для просмотра информации по платежу нажмите на его строку в рабочем поле раздела. В открывшейся форме появятся сведения о платеже ( </w:t>
      </w:r>
      <w:r>
        <w:fldChar w:fldCharType="begin"/>
      </w:r>
      <w:r>
        <w:rPr>
          <w:lang w:val="ru-RU"/>
        </w:rPr>
        <w:instrText xml:space="preserve"> </w:instrText>
      </w:r>
      <w:r>
        <w:instrText xml:space="preserve">REF</w:instrText>
      </w:r>
      <w:r>
        <w:rPr>
          <w:lang w:val="ru-RU"/>
        </w:rPr>
        <w:instrText xml:space="preserve"> _</w:instrText>
      </w:r>
      <w:r>
        <w:instrText xml:space="preserve">Ref</w:instrText>
      </w:r>
      <w:r>
        <w:rPr>
          <w:lang w:val="ru-RU"/>
        </w:rPr>
        <w:instrText xml:space="preserve">484687525 \</w:instrText>
      </w:r>
      <w:r>
        <w:instrText xml:space="preserve">h</w:instrText>
      </w:r>
      <w:r>
        <w:rPr>
          <w:lang w:val="ru-RU"/>
        </w:rPr>
        <w:instrText xml:space="preserve">  \* </w:instrText>
      </w:r>
      <w:r>
        <w:instrText xml:space="preserve">MERGEFORMAT</w:instrText>
      </w:r>
      <w:r>
        <w:rPr>
          <w:lang w:val="ru-RU"/>
        </w:rPr>
        <w:instrText xml:space="preserve"> </w:instrText>
      </w:r>
      <w:r>
        <w:fldChar w:fldCharType="separate"/>
      </w:r>
      <w:r>
        <w:rPr>
          <w:lang w:val="ru-RU"/>
        </w:rPr>
        <w:t xml:space="preserve">Рисунок </w:t>
      </w:r>
      <w:r>
        <w:rPr>
          <w:lang w:val="ru-RU"/>
        </w:rPr>
        <w:t xml:space="preserve">55</w:t>
      </w:r>
      <w:r>
        <w:fldChar w:fldCharType="end"/>
      </w:r>
      <w:r>
        <w:rPr>
          <w:lang w:val="ru-RU"/>
        </w:rPr>
        <w:t xml:space="preserve">).</w:t>
      </w:r>
      <w:r/>
    </w:p>
    <w:p>
      <w:pPr>
        <w:pStyle w:val="724"/>
        <w:ind w:firstLine="0"/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5440045"/>
                <wp:effectExtent l="0" t="0" r="635" b="8255"/>
                <wp:docPr id="4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152515" cy="544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84.4pt;height:428.3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722"/>
        <w:rPr>
          <w:sz w:val="24"/>
          <w:szCs w:val="24"/>
        </w:rPr>
      </w:pPr>
      <w:r/>
      <w:bookmarkStart w:id="82" w:name="_Ref484687525"/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 xml:space="preserve"> SEQ Рисунок \* ARABIC </w:instrText>
      </w:r>
      <w:r>
        <w:rPr>
          <w:szCs w:val="24"/>
        </w:rPr>
        <w:fldChar w:fldCharType="separate"/>
      </w:r>
      <w:r>
        <w:rPr>
          <w:szCs w:val="24"/>
        </w:rPr>
        <w:t xml:space="preserve">55</w:t>
      </w:r>
      <w:r>
        <w:rPr>
          <w:szCs w:val="24"/>
        </w:rPr>
        <w:fldChar w:fldCharType="end"/>
      </w:r>
      <w:bookmarkEnd w:id="82"/>
      <w:r>
        <w:rPr>
          <w:szCs w:val="24"/>
        </w:rPr>
        <w:t xml:space="preserve">. Форма платежа</w:t>
      </w:r>
      <w:r/>
    </w:p>
    <w:p>
      <w:pPr>
        <w:pStyle w:val="7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83" w:name="_Toc62549531"/>
      <w:r/>
      <w:bookmarkStart w:id="84" w:name="_Toc62467453"/>
      <w:r/>
      <w:bookmarkStart w:id="85" w:name="_Toc61969150"/>
      <w:r/>
      <w:bookmarkStart w:id="86" w:name="_Toc21430792"/>
      <w:r/>
      <w:bookmarkStart w:id="87" w:name="_Toc532294110"/>
      <w:r/>
      <w:bookmarkStart w:id="88" w:name="_Toc62549821"/>
      <w:r/>
      <w:bookmarkStart w:id="89" w:name="_Toc66901444"/>
      <w:r/>
      <w:bookmarkStart w:id="90" w:name="_Toc69295838"/>
      <w:r>
        <w:t xml:space="preserve">Квитирование платежей</w:t>
      </w:r>
      <w:bookmarkEnd w:id="83"/>
      <w:r/>
      <w:bookmarkEnd w:id="84"/>
      <w:r/>
      <w:bookmarkEnd w:id="85"/>
      <w:r/>
      <w:bookmarkEnd w:id="86"/>
      <w:r/>
      <w:bookmarkEnd w:id="87"/>
      <w:r/>
      <w:bookmarkEnd w:id="88"/>
      <w:r/>
      <w:bookmarkEnd w:id="89"/>
      <w:r/>
      <w:bookmarkEnd w:id="90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Система автоматически квитирует платежи с созданными в системе начислениями, но, если этого по какой-то причине не произошло (платеж имеет статус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»), необходимо провести квитирование вручную.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36220"/>
                <wp:effectExtent l="0" t="0" r="0" b="0"/>
                <wp:docPr id="4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2192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9.6pt;height:18.6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платежа и выберите «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» 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 _</w:instrText>
      </w:r>
      <w:r>
        <w:rPr>
          <w:rFonts w:ascii="Times New Roman" w:hAnsi="Times New Roman" w:cs="Times New Roman"/>
        </w:rPr>
        <w:instrText xml:space="preserve">Ref</w:instrText>
      </w:r>
      <w:r>
        <w:rPr>
          <w:rFonts w:ascii="Times New Roman" w:hAnsi="Times New Roman" w:cs="Times New Roman"/>
          <w:lang w:val="ru-RU"/>
        </w:rPr>
        <w:instrText xml:space="preserve">62041861 \</w:instrText>
      </w:r>
      <w:r>
        <w:rPr>
          <w:rFonts w:ascii="Times New Roman" w:hAnsi="Times New Roman" w:cs="Times New Roman"/>
        </w:rPr>
        <w:instrText xml:space="preserve">h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  <w:lang w:val="ru-RU"/>
        </w:rPr>
        <w:instrText xml:space="preserve"> \* </w:instrText>
      </w:r>
      <w:r>
        <w:rPr>
          <w:rFonts w:ascii="Times New Roman" w:hAnsi="Times New Roman" w:cs="Times New Roman"/>
        </w:rPr>
        <w:instrText xml:space="preserve">MERGEFORMAT</w:instrText>
      </w:r>
      <w:r>
        <w:rPr>
          <w:rFonts w:ascii="Times New Roman" w:hAnsi="Times New Roman" w:cs="Times New Roman"/>
          <w:lang w:val="ru-RU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 xml:space="preserve">128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lang w:val="ru-RU"/>
        </w:rPr>
        <w:t xml:space="preserve">)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30580" cy="213360"/>
                <wp:effectExtent l="0" t="0" r="7620" b="0"/>
                <wp:docPr id="4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8305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65.4pt;height:16.8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форме платежа.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899160"/>
                <wp:effectExtent l="0" t="0" r="0" b="0"/>
                <wp:docPr id="50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11886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81.8pt;height:70.8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/>
      <w:bookmarkStart w:id="91" w:name="_Ref62041861"/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128</w:t>
      </w:r>
      <w:r>
        <w:rPr>
          <w:sz w:val="24"/>
          <w:szCs w:val="24"/>
        </w:rPr>
        <w:fldChar w:fldCharType="end"/>
      </w:r>
      <w:bookmarkEnd w:id="91"/>
      <w:r>
        <w:rPr>
          <w:sz w:val="24"/>
          <w:szCs w:val="24"/>
        </w:rPr>
        <w:t xml:space="preserve">. Кнопка квитирования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выберите начисление, соответствующее платежу. Для упрощения поиска воспользуйтесь фильтрацией по дате и/или строкой поиска. Обратите внимание, что выбрать допустимо </w:t>
      </w:r>
      <w:r>
        <w:rPr>
          <w:rFonts w:ascii="Times New Roman" w:hAnsi="Times New Roman" w:cs="Times New Roman"/>
          <w:u w:val="single"/>
          <w:lang w:val="ru-RU"/>
        </w:rPr>
        <w:t xml:space="preserve">только одно начисление.</w:t>
      </w:r>
      <w:r>
        <w:rPr>
          <w:rFonts w:ascii="Times New Roman" w:hAnsi="Times New Roman" w:cs="Times New Roman"/>
          <w:lang w:val="ru-RU"/>
        </w:rPr>
        <w:t xml:space="preserve"> Нажмите на радиокнопку рядом с выбранным начислением и нажмите «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». 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1856533"/>
                <wp:effectExtent l="0" t="0" r="0" b="0"/>
                <wp:docPr id="5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368365" cy="1858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22.2pt;height:146.2pt;mso-wrap-distance-left:0.0pt;mso-wrap-distance-top:0.0pt;mso-wrap-distance-right:0.0pt;mso-wrap-distance-bottom:0.0pt;" stroked="f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129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Квитирование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статус платежа изменится на «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Если в списке не нашлось соответствующее платежу начисление, закройте окно квитирования.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010" cy="190500"/>
                <wp:effectExtent l="0" t="0" r="0" b="0"/>
                <wp:docPr id="5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rcRect l="23828" t="15775" r="26134" b="18492"/>
                        <a:stretch/>
                      </pic:blipFill>
                      <pic:spPr bwMode="auto">
                        <a:xfrm>
                          <a:off x="0" y="0"/>
                          <a:ext cx="83495" cy="198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6.3pt;height:15.0pt;mso-wrap-distance-left:0.0pt;mso-wrap-distance-top:0.0pt;mso-wrap-distance-right:0.0pt;mso-wrap-distance-bottom:0.0pt;" stroked="f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платежа и выберите «Создать начисление», либо нажмите одноименную кнопку в форме платежа. </w:t>
      </w:r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открывшемся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окне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выберите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одно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трех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доступных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действий</w:t>
      </w:r>
      <w:r>
        <w:rPr>
          <w:rFonts w:ascii="Times New Roman" w:hAnsi="Times New Roman" w:cs="Times New Roman"/>
        </w:rPr>
        <w:t xml:space="preserve">:</w:t>
      </w:r>
      <w:r/>
    </w:p>
    <w:p>
      <w:pPr>
        <w:ind w:firstLine="720"/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1059180"/>
                <wp:effectExtent l="0" t="0" r="0" b="7620"/>
                <wp:docPr id="5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11886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1.8pt;height:83.4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130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Действия по созданию начисления</w:t>
      </w:r>
      <w:r/>
    </w:p>
    <w:p>
      <w:pPr>
        <w:pStyle w:val="724"/>
        <w:numPr>
          <w:ilvl w:val="0"/>
          <w:numId w:val="1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«Создать начисление» - создает начисление на основе выбранного платежа без отправки в ГИС ГМП. Такое начисление сохраняется в раздел «Начисления» со статусом «</w:t>
      </w:r>
      <w:r>
        <w:rPr>
          <w:rFonts w:ascii="Times New Roman" w:hAnsi="Times New Roman" w:cs="Times New Roman"/>
          <w:i/>
          <w:lang w:val="ru-RU"/>
        </w:rPr>
        <w:t xml:space="preserve">Создано</w:t>
      </w:r>
      <w:r>
        <w:rPr>
          <w:rFonts w:ascii="Times New Roman" w:hAnsi="Times New Roman" w:cs="Times New Roman"/>
          <w:lang w:val="ru-RU"/>
        </w:rPr>
        <w:t xml:space="preserve">» и доступно для дальнейшего редактирования.</w:t>
      </w:r>
      <w:r/>
    </w:p>
    <w:p>
      <w:pPr>
        <w:pStyle w:val="724"/>
        <w:numPr>
          <w:ilvl w:val="0"/>
          <w:numId w:val="1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«Создать и отправить» - создает начисление на основе выбранного платежа с отправкой в ГИС ГМП. В случае прохождения валидации такое начисление переходит в статус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 и доступно для ручного квитирования.</w:t>
      </w:r>
      <w:r/>
    </w:p>
    <w:p>
      <w:pPr>
        <w:pStyle w:val="724"/>
        <w:numPr>
          <w:ilvl w:val="0"/>
          <w:numId w:val="15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«Создать и </w:t>
      </w:r>
      <w:r>
        <w:rPr>
          <w:rFonts w:ascii="Times New Roman" w:hAnsi="Times New Roman" w:cs="Times New Roman"/>
          <w:lang w:val="ru-RU"/>
        </w:rPr>
        <w:t xml:space="preserve">сквитировать</w:t>
      </w:r>
      <w:r>
        <w:rPr>
          <w:rFonts w:ascii="Times New Roman" w:hAnsi="Times New Roman" w:cs="Times New Roman"/>
          <w:lang w:val="ru-RU"/>
        </w:rPr>
        <w:t xml:space="preserve">» - создает начисление на основе выбранного платежа с отправкой в ГИС ГМП. В случае прохождения валидации такое начисление автоматически квитируется с выбранным платежом. По завершении обработки начисление и платеж переходят в статус «</w:t>
      </w:r>
      <w:r>
        <w:rPr>
          <w:rFonts w:ascii="Times New Roman" w:hAnsi="Times New Roman" w:cs="Times New Roman"/>
          <w:i/>
          <w:lang w:val="ru-RU"/>
        </w:rPr>
        <w:t xml:space="preserve">Сквитировано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6"/>
        <w:numPr>
          <w:ilvl w:val="1"/>
          <w:numId w:val="2"/>
        </w:numPr>
        <w:ind w:left="0" w:firstLine="720"/>
        <w:spacing w:before="0" w:after="0"/>
      </w:pPr>
      <w:r/>
      <w:bookmarkStart w:id="92" w:name="_Toc69295839"/>
      <w:r>
        <w:t xml:space="preserve">Работа с платежами</w:t>
      </w:r>
      <w:r>
        <w:t xml:space="preserve">. ГИС ГМП Администратор платежей</w:t>
      </w:r>
      <w:bookmarkEnd w:id="92"/>
      <w:r/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93" w:name="_Toc69295840"/>
      <w:r/>
      <w:bookmarkStart w:id="94" w:name="_Toc69295841"/>
      <w:r/>
      <w:bookmarkEnd w:id="93"/>
      <w:r>
        <w:t xml:space="preserve">Описание </w:t>
      </w:r>
      <w:r>
        <w:t xml:space="preserve">под</w:t>
      </w:r>
      <w:r>
        <w:t xml:space="preserve">раздела</w:t>
      </w:r>
      <w:bookmarkEnd w:id="94"/>
      <w:r/>
      <w:r/>
    </w:p>
    <w:p>
      <w:pPr>
        <w:pStyle w:val="724"/>
        <w:ind w:firstLine="720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u w:val="single"/>
          <w:lang w:val="ru-RU"/>
        </w:rPr>
        <w:t xml:space="preserve">Для работы с платежами </w:t>
      </w:r>
      <w:r>
        <w:rPr>
          <w:rFonts w:ascii="Times New Roman" w:hAnsi="Times New Roman" w:cs="Times New Roman"/>
          <w:u w:val="single"/>
          <w:lang w:val="ru-RU"/>
        </w:rPr>
        <w:t xml:space="preserve">с полномочиями Администратора платежей</w:t>
      </w:r>
      <w:r>
        <w:rPr>
          <w:rFonts w:ascii="Times New Roman" w:hAnsi="Times New Roman" w:cs="Times New Roman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u w:val="single"/>
          <w:lang w:val="ru-RU"/>
        </w:rPr>
        <w:t xml:space="preserve">необходимо назначить пользователю роль «ГИС ГМП Администратор платежей».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работы с платежами перейдите в модуль «ГИС ГМП» и выберите подраздел «Администратор</w:t>
      </w:r>
      <w:r>
        <w:rPr>
          <w:rFonts w:ascii="Times New Roman" w:hAnsi="Times New Roman" w:cs="Times New Roman"/>
          <w:lang w:val="ru-RU"/>
        </w:rPr>
        <w:t xml:space="preserve"> п</w:t>
      </w:r>
      <w:r>
        <w:rPr>
          <w:rFonts w:ascii="Times New Roman" w:hAnsi="Times New Roman" w:cs="Times New Roman"/>
          <w:lang w:val="ru-RU"/>
        </w:rPr>
        <w:t xml:space="preserve">латеж</w:t>
      </w:r>
      <w:r>
        <w:rPr>
          <w:rFonts w:ascii="Times New Roman" w:hAnsi="Times New Roman" w:cs="Times New Roman"/>
          <w:lang w:val="ru-RU"/>
        </w:rPr>
        <w:t xml:space="preserve">ей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pStyle w:val="724"/>
        <w:ind w:firstLine="0"/>
        <w:jc w:val="left"/>
        <w:rPr>
          <w:rFonts w:ascii="Times New Roman" w:hAnsi="Times New Roman" w:cs="Times New Roman"/>
          <w:lang w:val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03980"/>
                <wp:effectExtent l="0" t="0" r="635" b="1270"/>
                <wp:docPr id="5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152515" cy="3903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4.4pt;height:307.4pt;mso-wrap-distance-left:0.0pt;mso-wrap-distance-top:0.0pt;mso-wrap-distance-right:0.0pt;mso-wrap-distance-bottom:0.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 xml:space="preserve">131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Подраздел «Администратор платежей»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Подраздел состоит из следующих элементов: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Рабочее поле раздела – содержит краткую информацию о созданных пользователем </w:t>
      </w:r>
      <w:r>
        <w:rPr>
          <w:rFonts w:ascii="Times New Roman" w:hAnsi="Times New Roman" w:cs="Times New Roman"/>
          <w:lang w:val="ru-RU"/>
        </w:rPr>
        <w:t xml:space="preserve">платежах (и других пользователей ведомства - для просмотра необходимо убрать флажок в поле «Только мои платежи»)</w:t>
      </w:r>
      <w:r>
        <w:rPr>
          <w:rFonts w:ascii="Times New Roman" w:hAnsi="Times New Roman" w:cs="Times New Roman"/>
          <w:lang w:val="ru-RU"/>
        </w:rPr>
        <w:t xml:space="preserve">, а также меню действий (для открытия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160" cy="213360"/>
                <wp:effectExtent l="0" t="0" r="0" b="0"/>
                <wp:docPr id="5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71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0.8pt;height:16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»). Для просмотра детальной информации по какому-либо из </w:t>
      </w:r>
      <w:r>
        <w:rPr>
          <w:rFonts w:ascii="Times New Roman" w:hAnsi="Times New Roman" w:cs="Times New Roman"/>
          <w:lang w:val="ru-RU"/>
        </w:rPr>
        <w:t xml:space="preserve">платежей</w:t>
      </w:r>
      <w:r>
        <w:rPr>
          <w:rFonts w:ascii="Times New Roman" w:hAnsi="Times New Roman" w:cs="Times New Roman"/>
          <w:lang w:val="ru-RU"/>
        </w:rPr>
        <w:t xml:space="preserve">, откройте форму </w:t>
      </w:r>
      <w:r>
        <w:rPr>
          <w:rFonts w:ascii="Times New Roman" w:hAnsi="Times New Roman" w:cs="Times New Roman"/>
          <w:lang w:val="ru-RU"/>
        </w:rPr>
        <w:t xml:space="preserve">платежа</w:t>
      </w:r>
      <w:r>
        <w:rPr>
          <w:rFonts w:ascii="Times New Roman" w:hAnsi="Times New Roman" w:cs="Times New Roman"/>
          <w:lang w:val="ru-RU"/>
        </w:rPr>
        <w:t xml:space="preserve">, нажав на его строку.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нового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платежа 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75" cy="259492"/>
                <wp:effectExtent l="0" t="0" r="0" b="7620"/>
                <wp:docPr id="5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37171" cy="275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7.2pt;height:20.4pt;mso-wrap-distance-left:0.0pt;mso-wrap-distance-top:0.0pt;mso-wrap-distance-right:0.0pt;mso-wrap-distance-bottom:0.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</w:t>
      </w:r>
      <w:r>
        <w:rPr>
          <w:rFonts w:ascii="Times New Roman" w:hAnsi="Times New Roman" w:cs="Times New Roman"/>
          <w:lang w:val="ru-RU"/>
        </w:rPr>
        <w:t xml:space="preserve">а загрузки реестра платежей 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66775" cy="237744"/>
                <wp:effectExtent l="0" t="0" r="0" b="0"/>
                <wp:docPr id="5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918568" cy="25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68.2pt;height:18.7pt;mso-wrap-distance-left:0.0pt;mso-wrap-distance-top:0.0pt;mso-wrap-distance-right:0.0pt;mso-wrap-distance-bottom:0.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: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5360" cy="220980"/>
                <wp:effectExtent l="0" t="0" r="0" b="7620"/>
                <wp:docPr id="5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5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76.8pt;height:17.4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Строка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поиска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Переключатель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страниц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Кнопка массового аннулирования платежей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1550" cy="225194"/>
                <wp:effectExtent l="0" t="0" r="0" b="3810"/>
                <wp:docPr id="5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984806" cy="228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76.5pt;height:17.7pt;mso-wrap-distance-left:0.0pt;mso-wrap-distance-top:0.0pt;mso-wrap-distance-right:0.0pt;mso-wrap-distance-bottom:0.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724"/>
        <w:numPr>
          <w:ilvl w:val="0"/>
          <w:numId w:val="16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Фоновые задачи: При любом действии с </w:t>
      </w:r>
      <w:r>
        <w:rPr>
          <w:rFonts w:ascii="Times New Roman" w:hAnsi="Times New Roman" w:cs="Times New Roman"/>
          <w:lang w:val="ru-RU"/>
        </w:rPr>
        <w:t xml:space="preserve">платежами</w:t>
      </w:r>
      <w:r>
        <w:rPr>
          <w:rFonts w:ascii="Times New Roman" w:hAnsi="Times New Roman" w:cs="Times New Roman"/>
          <w:lang w:val="ru-RU"/>
        </w:rPr>
        <w:t xml:space="preserve"> по центру в рабочей области появляется всплывающее уведомление (Действие, </w:t>
      </w:r>
      <w:r>
        <w:rPr>
          <w:rFonts w:ascii="Times New Roman" w:hAnsi="Times New Roman" w:cs="Times New Roman"/>
          <w:lang w:val="ru-RU"/>
        </w:rPr>
        <w:t xml:space="preserve">УИП</w:t>
      </w:r>
      <w:r>
        <w:rPr>
          <w:rFonts w:ascii="Times New Roman" w:hAnsi="Times New Roman" w:cs="Times New Roman"/>
          <w:lang w:val="ru-RU"/>
        </w:rPr>
        <w:t xml:space="preserve">, по которому произведено действие) </w:t>
      </w:r>
      <w:r/>
    </w:p>
    <w:p>
      <w:pPr>
        <w:pStyle w:val="72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95" w:name="_Toc69295842"/>
      <w:r>
        <w:t xml:space="preserve">Создание и отправка платежа</w:t>
      </w:r>
      <w:bookmarkEnd w:id="95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создания платежа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540" cy="152400"/>
                <wp:effectExtent l="0" t="0" r="3810" b="0"/>
                <wp:docPr id="60" name="Рисунок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0.2pt;height:12.0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и заполните поля открывшейся формы: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Дата отсылки (вручения) плательщику документа с начислением в случае, если этот документ был отослан (вручен) получателем средств плательщику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УИН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Назначение платежа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Сумма платежа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Дата поступления распоряжения в банк плательщика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КБК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Код ОКТМО, указанный в распоряжении о переводе денежных средств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Вид операции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выбором значения из выпадающего списка,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Наименование ТОФК, структурного подразделения кредитной организации или подразделения Банка России, в котором открыт счет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БИК ТОФК, структурного подразделения кредитной организации или подразделения Банка России, в котором открыт счет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единого казначейского счета или корреспондентского счета кредитной организации, открытый в подразделении Банка России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Данные о плательщике отсутствуют</w:t>
      </w:r>
      <w:r>
        <w:rPr>
          <w:rFonts w:ascii="Times New Roman" w:hAnsi="Times New Roman" w:cs="Times New Roman"/>
          <w:lang w:val="ru-RU"/>
        </w:rPr>
        <w:t xml:space="preserve">» - чекбокс устанавливается в случае отсутствия информации о плательщике;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Плательщик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счета плательщика (при наличии) в организации, принявшей платеж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Тип плательщика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выбором значения из выпадающего списка,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Наименование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ИНН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КПП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ОГРН организации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казначейского счета или номер счета получателя средств в банке получателя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Наименование ТОФК, структурного подразделения кредитной организации или подразделения Банка России, в котором открыт счет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БИК ТОФК, структурного подразделения кредитной организации или подразделения Банка России, в котором открыт счет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единого казначейского счета или корреспондентского счета кредитной организации, открытый в подразделении Банка России</w:t>
      </w:r>
      <w:r>
        <w:rPr>
          <w:rFonts w:ascii="Times New Roman" w:hAnsi="Times New Roman" w:cs="Times New Roman"/>
          <w:lang w:val="ru-RU"/>
        </w:rPr>
        <w:t xml:space="preserve">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необязательно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Статус плательщика - реквизит 101 Распоряжения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Показатель основания платежа - реквизит 106 Распоряжения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Показ</w:t>
      </w:r>
      <w:r>
        <w:rPr>
          <w:rFonts w:ascii="Times New Roman" w:hAnsi="Times New Roman" w:cs="Times New Roman"/>
          <w:lang w:val="ru-RU"/>
        </w:rPr>
        <w:t xml:space="preserve">атель налогового периода или код таможенного органа, осуществляющего в соответствии с законодательством РФ функции по выработке государственной политики и нормативному регулированию, контролю и надзору в области таможенного дела – реквизит 107 Распоряжения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Показатель номера документа - реквизит 108 Распоряжения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Показатель даты документа - реквизит 109 Распоряжения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Указать реквизиты платежного документа</w:t>
      </w:r>
      <w:r>
        <w:rPr>
          <w:rFonts w:ascii="Times New Roman" w:hAnsi="Times New Roman" w:cs="Times New Roman"/>
          <w:lang w:val="ru-RU"/>
        </w:rPr>
        <w:t xml:space="preserve">» - чекбокс устанавливается в случае необходимости указания реквизитов платежного документа, станут доступны поля </w:t>
      </w: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платежного документа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и «Дата платежного документа»;</w:t>
      </w:r>
      <w:r/>
    </w:p>
    <w:p>
      <w:pPr>
        <w:pStyle w:val="724"/>
        <w:numPr>
          <w:ilvl w:val="0"/>
          <w:numId w:val="20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Указать дополнительные поля</w:t>
      </w:r>
      <w:r>
        <w:rPr>
          <w:rFonts w:ascii="Times New Roman" w:hAnsi="Times New Roman" w:cs="Times New Roman"/>
          <w:lang w:val="ru-RU"/>
        </w:rPr>
        <w:t xml:space="preserve">» - чекбокс устанавливается в случае </w:t>
      </w:r>
      <w:r>
        <w:rPr>
          <w:rFonts w:ascii="Times New Roman" w:hAnsi="Times New Roman" w:cs="Times New Roman"/>
          <w:lang w:val="ru-RU"/>
        </w:rPr>
        <w:t xml:space="preserve">необходимости заполнения дополнительных полей</w:t>
      </w:r>
      <w:r>
        <w:rPr>
          <w:rFonts w:ascii="Times New Roman" w:hAnsi="Times New Roman" w:cs="Times New Roman"/>
          <w:lang w:val="ru-RU"/>
        </w:rPr>
        <w:t xml:space="preserve">;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10534015"/>
                <wp:effectExtent l="0" t="0" r="0" b="635"/>
                <wp:docPr id="61" name="Рисунок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" name="Рисунок 2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048250" cy="10534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397.5pt;height:829.4pt;mso-wrap-distance-left:0.0pt;mso-wrap-distance-top:0.0pt;mso-wrap-distance-right:0.0pt;mso-wrap-distance-bottom:0.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</w: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Вы </w:t>
      </w:r>
      <w:r>
        <w:rPr>
          <w:rFonts w:ascii="Times New Roman" w:hAnsi="Times New Roman" w:cs="Times New Roman"/>
          <w:lang w:val="ru-RU"/>
        </w:rPr>
        <w:t xml:space="preserve">можете сохранить заполненный платеж в базе для дальнейшего использования в качестве образца.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12027"/>
                <wp:effectExtent l="0" t="0" r="0" b="0"/>
                <wp:docPr id="62" name="Рисунок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02782" cy="21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15.8pt;height:16.7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(сохранить как шаблон) в верхней части формы. В открывшемся окне введите название шаблона и выберите его тип: Личный (доступен только для создавшего сотрудника) или Общий (доступен для всех сотрудников ведомства). </w:t>
      </w:r>
      <w:r>
        <w:rPr>
          <w:rFonts w:ascii="Times New Roman" w:hAnsi="Times New Roman" w:cs="Times New Roman"/>
        </w:rPr>
        <w:t xml:space="preserve"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завершении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нажмите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 xml:space="preserve">Сохранить</w:t>
      </w:r>
      <w:r>
        <w:rPr>
          <w:rFonts w:ascii="Times New Roman" w:hAnsi="Times New Roman" w:cs="Times New Roman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60520" cy="1882140"/>
                <wp:effectExtent l="0" t="0" r="0" b="3810"/>
                <wp:docPr id="6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858" t="3976" r="1477" b="3087"/>
                        <a:stretch/>
                      </pic:blipFill>
                      <pic:spPr bwMode="auto">
                        <a:xfrm>
                          <a:off x="0" y="0"/>
                          <a:ext cx="4160519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327.6pt;height:148.2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133</w:t>
      </w:r>
      <w:r>
        <w:rPr>
          <w:sz w:val="24"/>
          <w:szCs w:val="24"/>
        </w:rPr>
        <w:t xml:space="preserve">. Создание шаблона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дальнейшем, для использования сохраненного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7645" cy="195892"/>
                <wp:effectExtent l="0" t="0" r="1905" b="0"/>
                <wp:docPr id="64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11471" cy="19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16.3pt;height:15.4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(заполнить из шаблона), отметьте тип шаблона и выберите необходимый из списка. После этого нажмите «</w:t>
      </w:r>
      <w:r>
        <w:rPr>
          <w:rFonts w:ascii="Times New Roman" w:hAnsi="Times New Roman" w:cs="Times New Roman"/>
          <w:lang w:val="ru-RU"/>
        </w:rPr>
        <w:t xml:space="preserve">Заполнить</w:t>
      </w:r>
      <w:r>
        <w:rPr>
          <w:rFonts w:ascii="Times New Roman" w:hAnsi="Times New Roman" w:cs="Times New Roman"/>
          <w:lang w:val="ru-RU"/>
        </w:rPr>
        <w:t xml:space="preserve">» - все данные, сохраненные в шаблоне, появятся в соответствующих полях формы.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23209" cy="1969338"/>
                <wp:effectExtent l="0" t="0" r="0" b="0"/>
                <wp:docPr id="6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4839106" cy="1975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379.8pt;height:155.1pt;mso-wrap-distance-left:0.0pt;mso-wrap-distance-top:0.0pt;mso-wrap-distance-right:0.0pt;mso-wrap-distance-bottom:0.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134</w:t>
      </w:r>
      <w:r>
        <w:rPr>
          <w:sz w:val="24"/>
          <w:szCs w:val="24"/>
        </w:rPr>
        <w:t xml:space="preserve">. Применение шаблона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удаления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81940"/>
                <wp:effectExtent l="0" t="0" r="0" b="3810"/>
                <wp:docPr id="66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57.0pt;height:22.2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рядом с его названием в списке и подтвердите удаление в открывшемся окне.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заполнения всех полей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0" cy="183232"/>
                <wp:effectExtent l="0" t="0" r="0" b="7620"/>
                <wp:docPr id="67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232300" cy="185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96.0pt;height:14.4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для отправки в ГИС ГМП. По завершении обработки платеж появится в рабочем поле раздела. При необходимости </w:t>
      </w:r>
      <w:r>
        <w:rPr>
          <w:rFonts w:ascii="Times New Roman" w:hAnsi="Times New Roman" w:cs="Times New Roman"/>
          <w:lang w:val="ru-RU"/>
        </w:rPr>
        <w:t xml:space="preserve">печати платежного поручения</w:t>
      </w:r>
      <w:r>
        <w:rPr>
          <w:rFonts w:ascii="Times New Roman" w:hAnsi="Times New Roman" w:cs="Times New Roman"/>
          <w:lang w:val="ru-RU"/>
        </w:rPr>
        <w:t xml:space="preserve">, сформируйте </w:t>
      </w:r>
      <w:r>
        <w:rPr>
          <w:rFonts w:ascii="Times New Roman" w:hAnsi="Times New Roman" w:cs="Times New Roman"/>
          <w:lang w:val="ru-RU"/>
        </w:rPr>
        <w:t xml:space="preserve">печатную форму</w:t>
      </w:r>
      <w:r>
        <w:rPr>
          <w:rFonts w:ascii="Times New Roman" w:hAnsi="Times New Roman" w:cs="Times New Roman"/>
          <w:lang w:val="ru-RU"/>
        </w:rPr>
        <w:t xml:space="preserve">, открыв форму </w:t>
      </w:r>
      <w:r>
        <w:rPr>
          <w:rFonts w:ascii="Times New Roman" w:hAnsi="Times New Roman" w:cs="Times New Roman"/>
          <w:lang w:val="ru-RU"/>
        </w:rPr>
        <w:t xml:space="preserve">платежа</w:t>
      </w:r>
      <w:r>
        <w:rPr>
          <w:rFonts w:ascii="Times New Roman" w:hAnsi="Times New Roman" w:cs="Times New Roman"/>
          <w:lang w:val="ru-RU"/>
        </w:rPr>
        <w:t xml:space="preserve"> и нажав на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00025"/>
                <wp:effectExtent l="0" t="0" r="9525" b="9525"/>
                <wp:docPr id="68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15.8pt;height:15.8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 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отмены создания </w:t>
      </w:r>
      <w:r>
        <w:rPr>
          <w:rFonts w:ascii="Times New Roman" w:hAnsi="Times New Roman" w:cs="Times New Roman"/>
          <w:lang w:val="ru-RU"/>
        </w:rPr>
        <w:t xml:space="preserve">платежа</w:t>
      </w:r>
      <w:r>
        <w:rPr>
          <w:rFonts w:ascii="Times New Roman" w:hAnsi="Times New Roman" w:cs="Times New Roman"/>
          <w:lang w:val="ru-RU"/>
        </w:rPr>
        <w:t xml:space="preserve">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120" cy="190500"/>
                <wp:effectExtent l="0" t="0" r="0" b="0"/>
                <wp:docPr id="69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91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.6pt;height:15.0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 в системе предусмотрена возможность сохранения </w:t>
      </w:r>
      <w:r>
        <w:rPr>
          <w:rFonts w:ascii="Times New Roman" w:hAnsi="Times New Roman" w:cs="Times New Roman"/>
          <w:lang w:val="ru-RU"/>
        </w:rPr>
        <w:t xml:space="preserve">платежа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u w:val="single"/>
          <w:lang w:val="ru-RU"/>
        </w:rPr>
        <w:t xml:space="preserve">без отправки в ГИС ГМП</w:t>
      </w:r>
      <w:r>
        <w:rPr>
          <w:rFonts w:ascii="Times New Roman" w:hAnsi="Times New Roman" w:cs="Times New Roman"/>
          <w:lang w:val="ru-RU"/>
        </w:rPr>
        <w:t xml:space="preserve"> (например, при необходимости уточнения информации). Для этого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13360"/>
                <wp:effectExtent l="0" t="0" r="0" b="0"/>
                <wp:docPr id="70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7239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7.0pt;height:16.8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внизу формы. По завершении обработки </w:t>
      </w:r>
      <w:r>
        <w:rPr>
          <w:rFonts w:ascii="Times New Roman" w:hAnsi="Times New Roman" w:cs="Times New Roman"/>
          <w:lang w:val="ru-RU"/>
        </w:rPr>
        <w:t xml:space="preserve">платеж</w:t>
      </w:r>
      <w:r>
        <w:rPr>
          <w:rFonts w:ascii="Times New Roman" w:hAnsi="Times New Roman" w:cs="Times New Roman"/>
          <w:lang w:val="ru-RU"/>
        </w:rPr>
        <w:t xml:space="preserve"> появится в рабочем поле раздела со статусом «</w:t>
      </w:r>
      <w:r>
        <w:rPr>
          <w:rFonts w:ascii="Times New Roman" w:hAnsi="Times New Roman" w:cs="Times New Roman"/>
          <w:i/>
          <w:lang w:val="ru-RU"/>
        </w:rPr>
        <w:t xml:space="preserve">Новый</w:t>
      </w:r>
      <w:r>
        <w:rPr>
          <w:rFonts w:ascii="Times New Roman" w:hAnsi="Times New Roman" w:cs="Times New Roman"/>
          <w:lang w:val="ru-RU"/>
        </w:rPr>
        <w:t xml:space="preserve">». Чтобы в дальнейшем отправить тако</w:t>
      </w:r>
      <w:r>
        <w:rPr>
          <w:rFonts w:ascii="Times New Roman" w:hAnsi="Times New Roman" w:cs="Times New Roman"/>
          <w:lang w:val="ru-RU"/>
        </w:rPr>
        <w:t xml:space="preserve">й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платеж</w:t>
      </w:r>
      <w:r>
        <w:rPr>
          <w:rFonts w:ascii="Times New Roman" w:hAnsi="Times New Roman" w:cs="Times New Roman"/>
          <w:lang w:val="ru-RU"/>
        </w:rPr>
        <w:t xml:space="preserve"> в ГИС ГМП, откройте форму </w:t>
      </w:r>
      <w:r>
        <w:rPr>
          <w:rFonts w:ascii="Times New Roman" w:hAnsi="Times New Roman" w:cs="Times New Roman"/>
          <w:lang w:val="ru-RU"/>
        </w:rPr>
        <w:t xml:space="preserve">платежа</w:t>
      </w:r>
      <w:r>
        <w:rPr>
          <w:rFonts w:ascii="Times New Roman" w:hAnsi="Times New Roman" w:cs="Times New Roman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 нажмите на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3420" cy="205740"/>
                <wp:effectExtent l="0" t="0" r="0" b="3810"/>
                <wp:docPr id="7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934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54.6pt;height:16.2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нижней части формы</w:t>
      </w:r>
      <w:r>
        <w:rPr>
          <w:rFonts w:ascii="Times New Roman" w:hAnsi="Times New Roman" w:cs="Times New Roman"/>
          <w:lang w:val="ru-RU"/>
        </w:rPr>
        <w:t xml:space="preserve">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необходимости удаления неотправленного платежа (только со статусом «</w:t>
      </w:r>
      <w:r>
        <w:rPr>
          <w:rFonts w:ascii="Times New Roman" w:hAnsi="Times New Roman" w:cs="Times New Roman"/>
          <w:i/>
          <w:lang w:val="ru-RU"/>
        </w:rPr>
        <w:t xml:space="preserve">Новый</w:t>
      </w:r>
      <w:r>
        <w:rPr>
          <w:rFonts w:ascii="Times New Roman" w:hAnsi="Times New Roman" w:cs="Times New Roman"/>
          <w:lang w:val="ru-RU"/>
        </w:rPr>
        <w:t xml:space="preserve">»)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" cy="266700"/>
                <wp:effectExtent l="0" t="0" r="7620" b="0"/>
                <wp:docPr id="72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447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11.4pt;height:21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«Удалить»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219075"/>
                <wp:effectExtent l="0" t="0" r="9525" b="9525"/>
                <wp:docPr id="73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4058" cy="21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2.8pt;height:17.2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форме, после чего подтвердите удаление в появившемся окне.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96" w:name="_Toc69295843"/>
      <w:r>
        <w:t xml:space="preserve">Дублирование платежей</w:t>
      </w:r>
      <w:bookmarkEnd w:id="96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требуется создать платеж с теми же данными, что у одного из ранее созданных платежей, то воспользуйтесь функцией дублирования. Для этого выберите необходимый ранее созданный платеж,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540" cy="243840"/>
                <wp:effectExtent l="0" t="0" r="3810" b="3810"/>
                <wp:docPr id="74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295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10.2pt;height:19.2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«Дублировать»,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243840"/>
                <wp:effectExtent l="0" t="0" r="0" b="3810"/>
                <wp:docPr id="75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18.0pt;height:19.2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 платежа.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этого произойдет открытие формы нового платежа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97" w:name="_Toc69295844"/>
      <w:r/>
      <w:bookmarkStart w:id="98" w:name="_Toc69295845"/>
      <w:r/>
      <w:bookmarkStart w:id="99" w:name="_Toc69295846"/>
      <w:r/>
      <w:bookmarkStart w:id="100" w:name="_Toc69295847"/>
      <w:r/>
      <w:bookmarkStart w:id="101" w:name="_Toc69295848"/>
      <w:r/>
      <w:bookmarkStart w:id="102" w:name="_Toc69295849"/>
      <w:r/>
      <w:bookmarkStart w:id="103" w:name="_Toc69295850"/>
      <w:r/>
      <w:bookmarkStart w:id="104" w:name="_Toc69295851"/>
      <w:r/>
      <w:bookmarkStart w:id="105" w:name="_Toc69295852"/>
      <w:r/>
      <w:bookmarkEnd w:id="97"/>
      <w:r/>
      <w:bookmarkEnd w:id="98"/>
      <w:r/>
      <w:bookmarkEnd w:id="99"/>
      <w:r/>
      <w:bookmarkEnd w:id="100"/>
      <w:r/>
      <w:bookmarkEnd w:id="101"/>
      <w:r/>
      <w:bookmarkEnd w:id="102"/>
      <w:r/>
      <w:bookmarkEnd w:id="103"/>
      <w:r/>
      <w:bookmarkEnd w:id="104"/>
      <w:r>
        <w:t xml:space="preserve">Аннулирование и </w:t>
      </w:r>
      <w:r>
        <w:t xml:space="preserve">деаннулирование</w:t>
      </w:r>
      <w:r>
        <w:t xml:space="preserve"> платежей</w:t>
      </w:r>
      <w:bookmarkEnd w:id="105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Удаление платежа возможно только в случае, если он не отправлен в ГИС ГМП (статус «</w:t>
      </w:r>
      <w:r>
        <w:rPr>
          <w:rFonts w:ascii="Times New Roman" w:hAnsi="Times New Roman" w:cs="Times New Roman"/>
          <w:i/>
          <w:lang w:val="ru-RU"/>
        </w:rPr>
        <w:t xml:space="preserve">Новый</w:t>
      </w:r>
      <w:r>
        <w:rPr>
          <w:rFonts w:ascii="Times New Roman" w:hAnsi="Times New Roman" w:cs="Times New Roman"/>
          <w:lang w:val="ru-RU"/>
        </w:rPr>
        <w:t xml:space="preserve">»). Когда платеж уже отправлен в ГИС ГМП и прошел валидацию (статус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сквитированный</w:t>
      </w:r>
      <w:r>
        <w:rPr>
          <w:rFonts w:ascii="Times New Roman" w:hAnsi="Times New Roman" w:cs="Times New Roman"/>
          <w:lang w:val="ru-RU"/>
        </w:rPr>
        <w:t xml:space="preserve">»), то его можно только аннулировать.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13360"/>
                <wp:effectExtent l="0" t="0" r="0" b="0"/>
                <wp:docPr id="7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19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9.6pt;height:16.8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платежа и выберите «Аннулировать». Также действие доступно из формы самого платежа через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54380" cy="213360"/>
                <wp:effectExtent l="0" t="0" r="7620" b="0"/>
                <wp:docPr id="7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754379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59.4pt;height:16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94523" cy="997467"/>
                <wp:effectExtent l="0" t="0" r="1905" b="0"/>
                <wp:docPr id="78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144156" cy="1005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79.9pt;height:78.5pt;mso-wrap-distance-left:0.0pt;mso-wrap-distance-top:0.0pt;mso-wrap-distance-right:0.0pt;mso-wrap-distance-bottom:0.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137</w:t>
      </w:r>
      <w:r>
        <w:rPr>
          <w:sz w:val="24"/>
          <w:szCs w:val="24"/>
        </w:rPr>
        <w:t xml:space="preserve">. Кнопка аннулирования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аннулирования и подтвердите действие повторным нажатием кнопки «</w:t>
      </w:r>
      <w:r>
        <w:rPr>
          <w:rFonts w:ascii="Times New Roman" w:hAnsi="Times New Roman" w:cs="Times New Roman"/>
          <w:lang w:val="ru-RU"/>
        </w:rPr>
        <w:t xml:space="preserve">Аннулировать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92097" cy="1785816"/>
                <wp:effectExtent l="0" t="0" r="0" b="5080"/>
                <wp:docPr id="79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4600380" cy="1789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61.6pt;height:140.6pt;mso-wrap-distance-left:0.0pt;mso-wrap-distance-top:0.0pt;mso-wrap-distance-right:0.0pt;mso-wrap-distance-bottom:0.0pt;" stroked="false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138</w:t>
      </w:r>
      <w:r>
        <w:rPr>
          <w:sz w:val="24"/>
          <w:szCs w:val="24"/>
        </w:rPr>
        <w:t xml:space="preserve">. Аннулирование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платежа изменится на «</w:t>
      </w:r>
      <w:r>
        <w:rPr>
          <w:rFonts w:ascii="Times New Roman" w:hAnsi="Times New Roman" w:cs="Times New Roman"/>
          <w:i/>
          <w:lang w:val="ru-RU"/>
        </w:rPr>
        <w:t xml:space="preserve">Аннулированный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необходимо аннулировать несколько платежей, то необходимо выделить их флажками и нажать на кнопку «Еще», затем «Аннулировать»: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0155" cy="933450"/>
                <wp:effectExtent l="0" t="0" r="8255" b="0"/>
                <wp:docPr id="80" name="Рисунок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684617" cy="939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44.9pt;height:73.5pt;mso-wrap-distance-left:0.0pt;mso-wrap-distance-top:0.0pt;mso-wrap-distance-right:0.0pt;mso-wrap-distance-bottom:0.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139</w:t>
      </w:r>
      <w:r>
        <w:rPr>
          <w:sz w:val="24"/>
          <w:szCs w:val="24"/>
        </w:rPr>
        <w:t xml:space="preserve">. Кнопка массового аннулирования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аннулирование платежа произошло ошибочно, его можно восстановить.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13360"/>
                <wp:effectExtent l="0" t="0" r="0" b="0"/>
                <wp:docPr id="8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19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9.6pt;height:16.8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платежа и выберите «</w:t>
      </w:r>
      <w:r>
        <w:rPr>
          <w:rFonts w:ascii="Times New Roman" w:hAnsi="Times New Roman" w:cs="Times New Roman"/>
          <w:lang w:val="ru-RU"/>
        </w:rPr>
        <w:t xml:space="preserve">Деаннулировать</w:t>
      </w:r>
      <w:r>
        <w:rPr>
          <w:rFonts w:ascii="Times New Roman" w:hAnsi="Times New Roman" w:cs="Times New Roman"/>
          <w:lang w:val="ru-RU"/>
        </w:rPr>
        <w:t xml:space="preserve">». Также действие доступно из формы самого платежа через кнопку «</w:t>
      </w:r>
      <w:r>
        <w:rPr>
          <w:rFonts w:ascii="Times New Roman" w:hAnsi="Times New Roman" w:cs="Times New Roman"/>
          <w:lang w:val="ru-RU"/>
        </w:rPr>
        <w:t xml:space="preserve">Деаннулировать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45556" cy="1231100"/>
                <wp:effectExtent l="0" t="0" r="0" b="7620"/>
                <wp:docPr id="82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11634683" cy="1240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909.1pt;height:96.9pt;mso-wrap-distance-left:0.0pt;mso-wrap-distance-top:0.0pt;mso-wrap-distance-right:0.0pt;mso-wrap-distance-bottom:0.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140</w:t>
      </w:r>
      <w:r>
        <w:rPr>
          <w:sz w:val="24"/>
          <w:szCs w:val="24"/>
        </w:rPr>
        <w:t xml:space="preserve">. Кнопка </w:t>
      </w:r>
      <w:r>
        <w:rPr>
          <w:sz w:val="24"/>
          <w:szCs w:val="24"/>
        </w:rPr>
        <w:t xml:space="preserve">деаннулирования</w:t>
      </w:r>
      <w:r>
        <w:rPr>
          <w:sz w:val="24"/>
          <w:szCs w:val="24"/>
        </w:rPr>
        <w:t xml:space="preserve">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восстановления и нажмите «</w:t>
      </w:r>
      <w:r>
        <w:rPr>
          <w:rFonts w:ascii="Times New Roman" w:hAnsi="Times New Roman" w:cs="Times New Roman"/>
          <w:lang w:val="ru-RU"/>
        </w:rPr>
        <w:t xml:space="preserve">Восстановить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80598" cy="1716698"/>
                <wp:effectExtent l="0" t="0" r="5715" b="0"/>
                <wp:docPr id="83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4291192" cy="1720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337.1pt;height:135.2pt;mso-wrap-distance-left:0.0pt;mso-wrap-distance-top:0.0pt;mso-wrap-distance-right:0.0pt;mso-wrap-distance-bottom:0.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141</w:t>
      </w:r>
      <w:r>
        <w:rPr>
          <w:sz w:val="24"/>
          <w:szCs w:val="24"/>
        </w:rPr>
        <w:t xml:space="preserve">. Восстановление платежа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возврата изменится на «</w:t>
      </w:r>
      <w:r>
        <w:rPr>
          <w:rFonts w:ascii="Times New Roman" w:hAnsi="Times New Roman" w:cs="Times New Roman"/>
          <w:i/>
          <w:lang w:val="ru-RU"/>
        </w:rPr>
        <w:t xml:space="preserve">Не </w:t>
      </w:r>
      <w:r>
        <w:rPr>
          <w:rFonts w:ascii="Times New Roman" w:hAnsi="Times New Roman" w:cs="Times New Roman"/>
          <w:i/>
          <w:lang w:val="ru-RU"/>
        </w:rPr>
        <w:t xml:space="preserve">сквитированный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106" w:name="_Toc69295853"/>
      <w:r>
        <w:t xml:space="preserve">Работа с реестром платежей</w:t>
      </w:r>
      <w:bookmarkEnd w:id="106"/>
      <w:r/>
      <w:r/>
    </w:p>
    <w:p>
      <w:pPr>
        <w:ind w:firstLine="720"/>
        <w:spacing w:line="360" w:lineRule="auto"/>
        <w:rPr>
          <w:u w:val="single"/>
        </w:rPr>
      </w:pPr>
      <w:r>
        <w:rPr>
          <w:b/>
          <w:color w:val="ff0000"/>
          <w:u w:val="single"/>
        </w:rPr>
        <w:t xml:space="preserve">Обратите внимание:</w:t>
      </w:r>
      <w:r>
        <w:rPr>
          <w:u w:val="single"/>
        </w:rPr>
        <w:t xml:space="preserve"> Для загрузки используются файлы выгрузки из АС «Бюджет» в формате УФЭБС (АРМ КБР для отправки в Банк) и ТФФ (СУФД для отправки в ФК). Стандартный путь выгрузки для этих файлов на вашем компьютере - папка EPD. </w:t>
      </w:r>
      <w:r/>
    </w:p>
    <w:p>
      <w:pPr>
        <w:ind w:firstLine="720"/>
        <w:spacing w:line="360" w:lineRule="auto"/>
      </w:pPr>
      <w:r>
        <w:t xml:space="preserve">Нажмите кнопку «Загрузка </w:t>
      </w:r>
      <w:r>
        <w:rPr>
          <w:rStyle w:val="723"/>
        </w:rPr>
        <w:t xml:space="preserve">реестров», нажмите «Выбрать файл», выберите</w:t>
      </w:r>
      <w:r>
        <w:t xml:space="preserve"> файл выгрузки в появившемся окне, нажмите «Открыть» и нажмите «ОК». Появится уведомление о начале загрузки файла.</w:t>
      </w:r>
      <w:r/>
    </w:p>
    <w:p>
      <w:pPr>
        <w:ind w:firstLine="720"/>
        <w:spacing w:line="360" w:lineRule="auto"/>
      </w:pPr>
      <w:r>
        <w:t xml:space="preserve">По завершении система уведомит об окончании загрузки с указанием общего количества обработанных платежей и количества платежей каждой категории – ГИС ГМП и ГИС </w:t>
      </w:r>
      <w:r>
        <w:rPr>
          <w:rStyle w:val="723"/>
        </w:rPr>
        <w:t xml:space="preserve">ЖКХ.</w:t>
      </w:r>
      <w:r/>
    </w:p>
    <w:p>
      <w:pPr>
        <w:ind w:firstLine="720"/>
        <w:spacing w:line="360" w:lineRule="auto"/>
      </w:pPr>
      <w:r>
        <w:t xml:space="preserve">После загрузки платежи отображаются в рабочем поле раздела</w:t>
      </w:r>
      <w:r>
        <w:rPr>
          <w:rStyle w:val="723"/>
        </w:rPr>
        <w:t xml:space="preserve">.</w:t>
      </w:r>
      <w:r>
        <w:t xml:space="preserve"> </w:t>
      </w:r>
      <w:r/>
    </w:p>
    <w:p>
      <w:pPr>
        <w:pStyle w:val="726"/>
        <w:numPr>
          <w:ilvl w:val="1"/>
          <w:numId w:val="2"/>
        </w:numPr>
        <w:ind w:left="0" w:firstLine="720"/>
        <w:spacing w:before="0" w:after="0"/>
      </w:pPr>
      <w:r/>
      <w:bookmarkStart w:id="107" w:name="_Toc69295854"/>
      <w:r/>
      <w:bookmarkStart w:id="108" w:name="_Toc69295855"/>
      <w:r/>
      <w:bookmarkEnd w:id="107"/>
      <w:r>
        <w:t xml:space="preserve">Работа с возвратами</w:t>
      </w:r>
      <w:bookmarkEnd w:id="108"/>
      <w:r/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>
        <w:t xml:space="preserve"> </w:t>
      </w:r>
      <w:bookmarkStart w:id="109" w:name="_Toc69295856"/>
      <w:r>
        <w:t xml:space="preserve">Описание подраздела</w:t>
      </w:r>
      <w:bookmarkEnd w:id="109"/>
      <w:r/>
      <w:r/>
    </w:p>
    <w:p>
      <w:pPr>
        <w:pStyle w:val="724"/>
        <w:ind w:firstLine="720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u w:val="single"/>
          <w:lang w:val="ru-RU"/>
        </w:rPr>
        <w:t xml:space="preserve">Для работы с платежами необходимо назначить пользователю роль «ГИС ГМП Администратор начислений».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работы с платежами перейдите в модуль «ГИС ГМП» и выберите подраздел «Возвраты»: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4781" cy="2257425"/>
                <wp:effectExtent l="0" t="0" r="3810" b="0"/>
                <wp:docPr id="8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850503" cy="2259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60.2pt;height:177.8pt;mso-wrap-distance-left:0.0pt;mso-wrap-distance-top:0.0pt;mso-wrap-distance-right:0.0pt;mso-wrap-distance-bottom:0.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4</w:t>
      </w: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Подраздел «Возвраты»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Рабочее поле раздела – содержит краткую информацию о созданных пользователем </w:t>
      </w:r>
      <w:r>
        <w:rPr>
          <w:rFonts w:ascii="Times New Roman" w:hAnsi="Times New Roman" w:cs="Times New Roman"/>
          <w:lang w:val="ru-RU"/>
        </w:rPr>
        <w:t xml:space="preserve">возвратах</w:t>
      </w:r>
      <w:r>
        <w:rPr>
          <w:rFonts w:ascii="Times New Roman" w:hAnsi="Times New Roman" w:cs="Times New Roman"/>
          <w:lang w:val="ru-RU"/>
        </w:rPr>
        <w:t xml:space="preserve"> (и других пользователей - для просмотра необходимо убрать флажок в поле «Только мои </w:t>
      </w:r>
      <w:r>
        <w:rPr>
          <w:rFonts w:ascii="Times New Roman" w:hAnsi="Times New Roman" w:cs="Times New Roman"/>
          <w:lang w:val="ru-RU"/>
        </w:rPr>
        <w:t xml:space="preserve">возвраты</w:t>
      </w:r>
      <w:r>
        <w:rPr>
          <w:rFonts w:ascii="Times New Roman" w:hAnsi="Times New Roman" w:cs="Times New Roman"/>
          <w:lang w:val="ru-RU"/>
        </w:rPr>
        <w:t xml:space="preserve">»), а также меню действий (для открытия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7160" cy="213360"/>
                <wp:effectExtent l="0" t="0" r="0" b="0"/>
                <wp:docPr id="8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71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10.8pt;height:16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»). Для просмотра детальной информации по какому-либо из </w:t>
      </w:r>
      <w:r>
        <w:rPr>
          <w:rFonts w:ascii="Times New Roman" w:hAnsi="Times New Roman" w:cs="Times New Roman"/>
          <w:lang w:val="ru-RU"/>
        </w:rPr>
        <w:t xml:space="preserve">возвратов</w:t>
      </w:r>
      <w:r>
        <w:rPr>
          <w:rFonts w:ascii="Times New Roman" w:hAnsi="Times New Roman" w:cs="Times New Roman"/>
          <w:lang w:val="ru-RU"/>
        </w:rPr>
        <w:t xml:space="preserve">, откройте форму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, нажав на его строку.</w:t>
      </w:r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нового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возврата 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6598" cy="396367"/>
                <wp:effectExtent l="0" t="0" r="0" b="3810"/>
                <wp:docPr id="86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932004" cy="403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72.2pt;height:31.2pt;mso-wrap-distance-left:0.0pt;mso-wrap-distance-top:0.0pt;mso-wrap-distance-right:0.0pt;mso-wrap-distance-bottom:0.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Кнопк</w:t>
      </w:r>
      <w:r>
        <w:rPr>
          <w:rFonts w:ascii="Times New Roman" w:hAnsi="Times New Roman" w:cs="Times New Roman"/>
          <w:lang w:val="ru-RU"/>
        </w:rPr>
        <w:t xml:space="preserve">а 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5360" cy="220980"/>
                <wp:effectExtent l="0" t="0" r="0" b="7620"/>
                <wp:docPr id="8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5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76.8pt;height:17.4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  <w:r/>
    </w:p>
    <w:p>
      <w:pPr>
        <w:ind w:firstLine="720"/>
        <w:jc w:val="center"/>
        <w:keepNext/>
        <w:spacing w:line="360" w:lineRule="auto"/>
      </w:pPr>
      <w:r/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Строка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поиска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Переключатель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страниц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24"/>
        <w:numPr>
          <w:ilvl w:val="0"/>
          <w:numId w:val="17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Фоновые задачи: При любом действии с </w:t>
      </w:r>
      <w:r>
        <w:rPr>
          <w:rFonts w:ascii="Times New Roman" w:hAnsi="Times New Roman" w:cs="Times New Roman"/>
          <w:lang w:val="ru-RU"/>
        </w:rPr>
        <w:t xml:space="preserve">возвратом</w:t>
      </w:r>
      <w:r>
        <w:rPr>
          <w:rFonts w:ascii="Times New Roman" w:hAnsi="Times New Roman" w:cs="Times New Roman"/>
          <w:lang w:val="ru-RU"/>
        </w:rPr>
        <w:t xml:space="preserve"> по центру в рабочей области появляется всплывающее уведомление (Действие, </w:t>
      </w:r>
      <w:r>
        <w:rPr>
          <w:rFonts w:ascii="Times New Roman" w:hAnsi="Times New Roman" w:cs="Times New Roman"/>
          <w:lang w:val="ru-RU"/>
        </w:rPr>
        <w:t xml:space="preserve">УИВ</w:t>
      </w:r>
      <w:r>
        <w:rPr>
          <w:rFonts w:ascii="Times New Roman" w:hAnsi="Times New Roman" w:cs="Times New Roman"/>
          <w:lang w:val="ru-RU"/>
        </w:rPr>
        <w:t xml:space="preserve">, по которому произведено действие) </w:t>
      </w:r>
      <w:r/>
    </w:p>
    <w:p>
      <w:pPr>
        <w:pStyle w:val="724"/>
        <w:ind w:left="72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110" w:name="_Toc69295857"/>
      <w:r>
        <w:t xml:space="preserve">Создание и отправка возврата</w:t>
      </w:r>
      <w:bookmarkEnd w:id="110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создания возврата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540" cy="152400"/>
                <wp:effectExtent l="0" t="0" r="3810" b="0"/>
                <wp:docPr id="8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0.2pt;height:12.0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и заполните поля открывшейся формы: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Уровень бюджета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–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КБК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ОКТМО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Наименование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автоматически на основе настроек ведомства пользователя,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ИНН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автоматически на основе настроек ведомства пользователя,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КПП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автоматически на основе настроек ведомства пользователя,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ОГРН </w:t>
      </w:r>
      <w:r>
        <w:rPr>
          <w:rFonts w:ascii="Times New Roman" w:hAnsi="Times New Roman" w:cs="Times New Roman"/>
          <w:lang w:val="ru-RU"/>
        </w:rPr>
        <w:t xml:space="preserve">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поле заполняется вручную,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Код организации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 - поле заполняется вручную, обязательно для заполнения</w:t>
      </w:r>
      <w:r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 xml:space="preserve">Особенности заполнения: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для организаций, отсутствующих в Сводном реестре, указывается код органа в соответствии с регистрационными данными, присвоенными органами ФК, равный 5 знакам.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для остальных клиентов указывается уникальный код организации по Сводному реестру, равный 8 знакам;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для налоговых органов указывается код УФНС России, передающего информацию в ТОФК.;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«Номер, присвоенный организацией, формирующей Заявку на возврат в ТОФК»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«Дата, на которую сформирована Заявка на возврат в ТОФК»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«УИП платежа для возврата денежных средств»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«Вид средств для осуществления возврата»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«Сумма возврата» - поле заполняется вручную, обязательно для заполнения. Сумму необходимо внести в рублях и копейках, в качестве разделителя используется точка (например, 10 рублей – указываем </w:t>
      </w:r>
      <w:r>
        <w:rPr>
          <w:rFonts w:ascii="Times New Roman" w:hAnsi="Times New Roman" w:cs="Times New Roman"/>
          <w:i/>
          <w:lang w:val="ru-RU"/>
        </w:rPr>
        <w:t xml:space="preserve">10.00</w:t>
      </w:r>
      <w:r>
        <w:rPr>
          <w:rFonts w:ascii="Times New Roman" w:hAnsi="Times New Roman" w:cs="Times New Roman"/>
          <w:lang w:val="ru-RU"/>
        </w:rPr>
        <w:t xml:space="preserve">, 10 рублей 95 копеек – </w:t>
      </w:r>
      <w:r>
        <w:rPr>
          <w:rFonts w:ascii="Times New Roman" w:hAnsi="Times New Roman" w:cs="Times New Roman"/>
          <w:i/>
          <w:lang w:val="ru-RU"/>
        </w:rPr>
        <w:t xml:space="preserve">10.95</w:t>
      </w:r>
      <w:r>
        <w:rPr>
          <w:rFonts w:ascii="Times New Roman" w:hAnsi="Times New Roman" w:cs="Times New Roman"/>
          <w:lang w:val="ru-RU"/>
        </w:rPr>
        <w:t xml:space="preserve">);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«Назначение платежа»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«Вид документа-основания для осуществления возврата»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«Номер документа-основания для осуществления возврата»</w:t>
      </w:r>
      <w:r>
        <w:rPr>
          <w:rFonts w:ascii="Times New Roman" w:hAnsi="Times New Roman" w:cs="Times New Roman"/>
          <w:lang w:val="ru-RU"/>
        </w:rPr>
        <w:t xml:space="preserve">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«Дата документа-основания для осуществления возврата» - 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«Тип плательщика» - поле заполняется выбором значения из выпадающего списка,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Наименование получателя денежных средств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вручную, обязательно для заполнения. Для ЮЛ наименование организации, для ФЛ указывается ФИО, для ИП указывается ФИО ИП;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«Код ОКТМО» - поле заполняется вручную, заполняется в случае перечисления денежных средств в бюджетную систему РФ, иначе указывается 0,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казначейского счета или номер счета получателя средств в банке получателя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«Наименование ТОФК, структурного подразделения кредитной организации или подразделения Банка России» - поле заполняется вручную,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«БИК ТОФК, структурного подразделения кредитной организации или подразделения Банка России» - </w:t>
      </w:r>
      <w:r>
        <w:rPr>
          <w:rFonts w:ascii="Times New Roman" w:hAnsi="Times New Roman" w:cs="Times New Roman"/>
          <w:lang w:val="ru-RU"/>
        </w:rPr>
        <w:t xml:space="preserve">поле заполняется вручную, 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единого казначейского счета или корреспондентского счета кредитной организации, открытый в подразделении Банка России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Номер лицевого счета получателя платежа</w:t>
      </w:r>
      <w:r>
        <w:rPr>
          <w:rFonts w:ascii="Times New Roman" w:hAnsi="Times New Roman" w:cs="Times New Roman"/>
          <w:lang w:val="ru-RU"/>
        </w:rPr>
        <w:t xml:space="preserve">» - поле заполняется вручную, необязательно для заполнения;</w:t>
      </w:r>
      <w:r/>
    </w:p>
    <w:p>
      <w:pPr>
        <w:pStyle w:val="724"/>
        <w:numPr>
          <w:ilvl w:val="0"/>
          <w:numId w:val="18"/>
        </w:numPr>
        <w:ind w:left="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</w:t>
      </w:r>
      <w:r>
        <w:rPr>
          <w:rFonts w:ascii="Times New Roman" w:hAnsi="Times New Roman" w:cs="Times New Roman"/>
          <w:lang w:val="ru-RU"/>
        </w:rPr>
        <w:t xml:space="preserve">Указать дополнительные поля возврата</w:t>
      </w:r>
      <w:r>
        <w:rPr>
          <w:rFonts w:ascii="Times New Roman" w:hAnsi="Times New Roman" w:cs="Times New Roman"/>
          <w:lang w:val="ru-RU"/>
        </w:rPr>
        <w:t xml:space="preserve">» - при установлении </w:t>
      </w:r>
      <w:r>
        <w:rPr>
          <w:rFonts w:ascii="Times New Roman" w:hAnsi="Times New Roman" w:cs="Times New Roman"/>
          <w:lang w:val="ru-RU"/>
        </w:rPr>
        <w:t xml:space="preserve">чекбокса</w:t>
      </w:r>
      <w:r>
        <w:rPr>
          <w:rFonts w:ascii="Times New Roman" w:hAnsi="Times New Roman" w:cs="Times New Roman"/>
          <w:lang w:val="ru-RU"/>
        </w:rPr>
        <w:t xml:space="preserve"> появляются дополнительные поля «Наименование поля» и «Значение поля».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143</w:t>
      </w:r>
      <w:r>
        <w:rPr>
          <w:sz w:val="24"/>
          <w:szCs w:val="24"/>
        </w:rPr>
        <w:t xml:space="preserve">. Создание 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11122025"/>
                <wp:effectExtent l="0" t="0" r="9525" b="3175"/>
                <wp:docPr id="8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343525" cy="1112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20.8pt;height:875.8pt;mso-wrap-distance-left:0.0pt;mso-wrap-distance-top:0.0pt;mso-wrap-distance-right:0.0pt;mso-wrap-distance-bottom:0.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724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Вы </w:t>
      </w:r>
      <w:r>
        <w:rPr>
          <w:rFonts w:ascii="Times New Roman" w:hAnsi="Times New Roman" w:cs="Times New Roman"/>
          <w:lang w:val="ru-RU"/>
        </w:rPr>
        <w:t xml:space="preserve">можете сохранить заполненный возврат в базе для дальнейшего использования в качестве образца.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12027"/>
                <wp:effectExtent l="0" t="0" r="0" b="0"/>
                <wp:docPr id="9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02782" cy="21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15.8pt;height:16.7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(сохранить как шаблон) в верхней части формы. В открывшемся окне введите название шаблона и выберите его тип: Личный (доступен только для создавшего сотрудника) или Общий (доступен для всех сотрудников ведомства). </w:t>
      </w:r>
      <w:r>
        <w:rPr>
          <w:rFonts w:ascii="Times New Roman" w:hAnsi="Times New Roman" w:cs="Times New Roman"/>
        </w:rPr>
        <w:t xml:space="preserve"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завершении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нажмите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 xml:space="preserve">Сохранить</w:t>
      </w:r>
      <w:r>
        <w:rPr>
          <w:rFonts w:ascii="Times New Roman" w:hAnsi="Times New Roman" w:cs="Times New Roman"/>
        </w:rPr>
        <w:t xml:space="preserve">».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60520" cy="1882140"/>
                <wp:effectExtent l="0" t="0" r="0" b="3810"/>
                <wp:docPr id="91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858" t="3976" r="1477" b="3087"/>
                        <a:stretch/>
                      </pic:blipFill>
                      <pic:spPr bwMode="auto">
                        <a:xfrm>
                          <a:off x="0" y="0"/>
                          <a:ext cx="4160519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327.6pt;height:148.2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144</w:t>
      </w:r>
      <w:r>
        <w:rPr>
          <w:sz w:val="24"/>
          <w:szCs w:val="24"/>
        </w:rPr>
        <w:t xml:space="preserve">. Создание шаблона 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дальнейшем, для использования сохраненного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7645" cy="195892"/>
                <wp:effectExtent l="0" t="0" r="1905" b="0"/>
                <wp:docPr id="9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11471" cy="19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16.3pt;height:15.4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(заполнить из шаблона), отметьте тип шаблона и выберите необходимый из списка. После этого нажмите «</w:t>
      </w:r>
      <w:r>
        <w:rPr>
          <w:rFonts w:ascii="Times New Roman" w:hAnsi="Times New Roman" w:cs="Times New Roman"/>
          <w:lang w:val="ru-RU"/>
        </w:rPr>
        <w:t xml:space="preserve">Заполнить</w:t>
      </w:r>
      <w:r>
        <w:rPr>
          <w:rFonts w:ascii="Times New Roman" w:hAnsi="Times New Roman" w:cs="Times New Roman"/>
          <w:lang w:val="ru-RU"/>
        </w:rPr>
        <w:t xml:space="preserve">» - все данные, сохраненные в шаблоне, появятся в соответствующих полях формы.</w:t>
      </w:r>
      <w:r/>
    </w:p>
    <w:p>
      <w:pPr>
        <w:pStyle w:val="724"/>
        <w:ind w:firstLine="7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6692" cy="2267266"/>
                <wp:effectExtent l="0" t="0" r="8890" b="0"/>
                <wp:docPr id="93" name="Рисунок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" name="Рисунок 2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496692" cy="2267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32.8pt;height:178.5pt;mso-wrap-distance-left:0.0pt;mso-wrap-distance-top:0.0pt;mso-wrap-distance-right:0.0pt;mso-wrap-distance-bottom:0.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 145. Применение шаблона 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удаления шаблона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81940"/>
                <wp:effectExtent l="0" t="0" r="0" b="3810"/>
                <wp:docPr id="94" name="Рисунок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57.0pt;height:22.2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рядом с его названием в списке и подтвердите удаление в открывшемся окне.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заполнения всех полей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0" cy="183232"/>
                <wp:effectExtent l="0" t="0" r="0" b="7620"/>
                <wp:docPr id="95" name="Рисунок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232300" cy="185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96.0pt;height:14.4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для отправки в ГИС ГМП. По завершении обработки возврат появится в рабочем поле раздела. 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отмены создания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120" cy="190500"/>
                <wp:effectExtent l="0" t="0" r="0" b="0"/>
                <wp:docPr id="96" name="Рисунок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91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5.6pt;height:15.0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widowControl w:val="o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 в системе предусмотрена возможность сохранения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u w:val="single"/>
          <w:lang w:val="ru-RU"/>
        </w:rPr>
        <w:t xml:space="preserve">без отправки в ГИС ГМП</w:t>
      </w:r>
      <w:r>
        <w:rPr>
          <w:rFonts w:ascii="Times New Roman" w:hAnsi="Times New Roman" w:cs="Times New Roman"/>
          <w:lang w:val="ru-RU"/>
        </w:rPr>
        <w:t xml:space="preserve"> (например, при необходимости уточнения информации). Для этого нажмите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3900" cy="213360"/>
                <wp:effectExtent l="0" t="0" r="0" b="0"/>
                <wp:docPr id="97" name="Рисунок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7239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57.0pt;height:16.8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внизу формы. По завершении обработки </w:t>
      </w:r>
      <w:r>
        <w:rPr>
          <w:rFonts w:ascii="Times New Roman" w:hAnsi="Times New Roman" w:cs="Times New Roman"/>
          <w:lang w:val="ru-RU"/>
        </w:rPr>
        <w:t xml:space="preserve">возврат</w:t>
      </w:r>
      <w:r>
        <w:rPr>
          <w:rFonts w:ascii="Times New Roman" w:hAnsi="Times New Roman" w:cs="Times New Roman"/>
          <w:lang w:val="ru-RU"/>
        </w:rPr>
        <w:t xml:space="preserve"> появится в рабочем поле раздела со статусом «</w:t>
      </w:r>
      <w:r>
        <w:rPr>
          <w:rFonts w:ascii="Times New Roman" w:hAnsi="Times New Roman" w:cs="Times New Roman"/>
          <w:i/>
          <w:lang w:val="ru-RU"/>
        </w:rPr>
        <w:t xml:space="preserve">Создан</w:t>
      </w:r>
      <w:r>
        <w:rPr>
          <w:rFonts w:ascii="Times New Roman" w:hAnsi="Times New Roman" w:cs="Times New Roman"/>
          <w:i/>
          <w:lang w:val="ru-RU"/>
        </w:rPr>
        <w:t xml:space="preserve">ный</w:t>
      </w:r>
      <w:r>
        <w:rPr>
          <w:rFonts w:ascii="Times New Roman" w:hAnsi="Times New Roman" w:cs="Times New Roman"/>
          <w:lang w:val="ru-RU"/>
        </w:rPr>
        <w:t xml:space="preserve">». Чтобы в дальнейшем отправить тако</w:t>
      </w:r>
      <w:r>
        <w:rPr>
          <w:rFonts w:ascii="Times New Roman" w:hAnsi="Times New Roman" w:cs="Times New Roman"/>
          <w:lang w:val="ru-RU"/>
        </w:rPr>
        <w:t xml:space="preserve">й возврат</w:t>
      </w:r>
      <w:r>
        <w:rPr>
          <w:rFonts w:ascii="Times New Roman" w:hAnsi="Times New Roman" w:cs="Times New Roman"/>
          <w:lang w:val="ru-RU"/>
        </w:rPr>
        <w:t xml:space="preserve"> в ГИС ГМП, откройте форму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 нажмите на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3420" cy="205740"/>
                <wp:effectExtent l="0" t="0" r="0" b="3810"/>
                <wp:docPr id="98" name="Рисунок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934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54.6pt;height:16.2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нижней части формы</w:t>
      </w:r>
      <w:r>
        <w:rPr>
          <w:rFonts w:ascii="Times New Roman" w:hAnsi="Times New Roman" w:cs="Times New Roman"/>
          <w:lang w:val="ru-RU"/>
        </w:rPr>
        <w:t xml:space="preserve">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необходимости удаления неотправленного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(только со статусом «</w:t>
      </w:r>
      <w:r>
        <w:rPr>
          <w:rFonts w:ascii="Times New Roman" w:hAnsi="Times New Roman" w:cs="Times New Roman"/>
          <w:i/>
          <w:lang w:val="ru-RU"/>
        </w:rPr>
        <w:t xml:space="preserve">Создан</w:t>
      </w:r>
      <w:r>
        <w:rPr>
          <w:rFonts w:ascii="Times New Roman" w:hAnsi="Times New Roman" w:cs="Times New Roman"/>
          <w:i/>
          <w:lang w:val="ru-RU"/>
        </w:rPr>
        <w:t xml:space="preserve">ный</w:t>
      </w:r>
      <w:r>
        <w:rPr>
          <w:rFonts w:ascii="Times New Roman" w:hAnsi="Times New Roman" w:cs="Times New Roman"/>
          <w:lang w:val="ru-RU"/>
        </w:rPr>
        <w:t xml:space="preserve">»)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" cy="266700"/>
                <wp:effectExtent l="0" t="0" r="7620" b="0"/>
                <wp:docPr id="99" name="Рисуно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447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11.4pt;height:21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«Удалить»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219075"/>
                <wp:effectExtent l="0" t="0" r="9525" b="9525"/>
                <wp:docPr id="100" name="Рисунок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4058" cy="21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2.8pt;height:17.2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форме, после чего подтвердите удаление в появившемся окне.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необходимости можно провести проверку статуса возврата в ГИС ГМП. Для этого нажмите «Проверка статуса» в меню действий раздела (кнопка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3820" cy="228600"/>
                <wp:effectExtent l="0" t="0" r="0" b="0"/>
                <wp:docPr id="101" name="Рисунок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838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6.6pt;height:18.0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возврата) или внизу формы самого возврата. Проверка статуса доступна для возвратов в статусах: Загруженный, Аннулированный.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111" w:name="_Toc69295858"/>
      <w:r>
        <w:t xml:space="preserve">Дублирование возвратов</w:t>
      </w:r>
      <w:bookmarkEnd w:id="111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требуется создать возврат с теми же данными, что у одного из ранее созданных возвратов, то воспользуйтесь функцией дублирования. Для этого выберите необходимый ранее созданный возврат (доступно при любом его статусе),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540" cy="243840"/>
                <wp:effectExtent l="0" t="0" r="3810" b="3810"/>
                <wp:docPr id="102" name="Рисунок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295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10.2pt;height:19.2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его строки и выберите «Дублировать», либо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243840"/>
                <wp:effectExtent l="0" t="0" r="0" b="3810"/>
                <wp:docPr id="103" name="Рисунок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18.0pt;height:19.2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самой форме возврата.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этого произойдет открытие формы нового возврата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  <w:r/>
    </w:p>
    <w:p>
      <w:pPr>
        <w:pStyle w:val="725"/>
        <w:numPr>
          <w:ilvl w:val="2"/>
          <w:numId w:val="2"/>
        </w:numPr>
        <w:ind w:left="0" w:firstLine="720"/>
        <w:spacing w:before="0" w:after="0"/>
      </w:pPr>
      <w:r/>
      <w:bookmarkStart w:id="112" w:name="_Toc69295859"/>
      <w:r>
        <w:t xml:space="preserve">Аннулирование и </w:t>
      </w:r>
      <w:r>
        <w:t xml:space="preserve">деаннулирование</w:t>
      </w:r>
      <w:r>
        <w:t xml:space="preserve"> возвратов</w:t>
      </w:r>
      <w:bookmarkEnd w:id="112"/>
      <w:r/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Удаление возврата возможно только в случае, если он не отправлен в ГИС ГМП (статус «</w:t>
      </w:r>
      <w:r>
        <w:rPr>
          <w:rFonts w:ascii="Times New Roman" w:hAnsi="Times New Roman" w:cs="Times New Roman"/>
          <w:i/>
          <w:lang w:val="ru-RU"/>
        </w:rPr>
        <w:t xml:space="preserve">Создан</w:t>
      </w:r>
      <w:r>
        <w:rPr>
          <w:rFonts w:ascii="Times New Roman" w:hAnsi="Times New Roman" w:cs="Times New Roman"/>
          <w:i/>
          <w:lang w:val="ru-RU"/>
        </w:rPr>
        <w:t xml:space="preserve">ный</w:t>
      </w:r>
      <w:r>
        <w:rPr>
          <w:rFonts w:ascii="Times New Roman" w:hAnsi="Times New Roman" w:cs="Times New Roman"/>
          <w:lang w:val="ru-RU"/>
        </w:rPr>
        <w:t xml:space="preserve">»). Когда </w:t>
      </w:r>
      <w:r>
        <w:rPr>
          <w:rFonts w:ascii="Times New Roman" w:hAnsi="Times New Roman" w:cs="Times New Roman"/>
          <w:lang w:val="ru-RU"/>
        </w:rPr>
        <w:t xml:space="preserve">возврат</w:t>
      </w:r>
      <w:r>
        <w:rPr>
          <w:rFonts w:ascii="Times New Roman" w:hAnsi="Times New Roman" w:cs="Times New Roman"/>
          <w:lang w:val="ru-RU"/>
        </w:rPr>
        <w:t xml:space="preserve"> уже отправлен в ГИС ГМП и прош</w:t>
      </w:r>
      <w:r>
        <w:rPr>
          <w:rFonts w:ascii="Times New Roman" w:hAnsi="Times New Roman" w:cs="Times New Roman"/>
          <w:lang w:val="ru-RU"/>
        </w:rPr>
        <w:t xml:space="preserve">ел</w:t>
      </w:r>
      <w:r>
        <w:rPr>
          <w:rFonts w:ascii="Times New Roman" w:hAnsi="Times New Roman" w:cs="Times New Roman"/>
          <w:lang w:val="ru-RU"/>
        </w:rPr>
        <w:t xml:space="preserve"> валидацию (статус «</w:t>
      </w:r>
      <w:r>
        <w:rPr>
          <w:rFonts w:ascii="Times New Roman" w:hAnsi="Times New Roman" w:cs="Times New Roman"/>
          <w:i/>
          <w:lang w:val="ru-RU"/>
        </w:rPr>
        <w:t xml:space="preserve">Загруженный</w:t>
      </w:r>
      <w:r>
        <w:rPr>
          <w:rFonts w:ascii="Times New Roman" w:hAnsi="Times New Roman" w:cs="Times New Roman"/>
          <w:lang w:val="ru-RU"/>
        </w:rPr>
        <w:t xml:space="preserve">»), то его можно только аннулировать.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13360"/>
                <wp:effectExtent l="0" t="0" r="0" b="0"/>
                <wp:docPr id="104" name="Рисунок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19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9.6pt;height:16.8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и выберите «Аннулировать»</w:t>
      </w:r>
      <w:r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Также действие доступно из формы самого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через кнопку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54380" cy="213360"/>
                <wp:effectExtent l="0" t="0" r="7620" b="0"/>
                <wp:docPr id="105" name="Рисунок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754379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59.4pt;height:16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430189" cy="1902145"/>
                <wp:effectExtent l="0" t="0" r="0" b="3175"/>
                <wp:docPr id="106" name="Рисунок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" name="Рисунок 2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10493313" cy="19136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821.3pt;height:149.8pt;mso-wrap-distance-left:0.0pt;mso-wrap-distance-top:0.0pt;mso-wrap-distance-right:0.0pt;mso-wrap-distance-bottom:0.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146</w:t>
      </w:r>
      <w:r>
        <w:rPr>
          <w:sz w:val="24"/>
          <w:szCs w:val="24"/>
        </w:rPr>
        <w:t xml:space="preserve">. Кнопка аннулирования </w:t>
      </w:r>
      <w:r>
        <w:rPr>
          <w:sz w:val="24"/>
          <w:szCs w:val="24"/>
        </w:rPr>
        <w:t xml:space="preserve">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аннулирования и подтвердите действие повторным нажатием кнопки «</w:t>
      </w:r>
      <w:r>
        <w:rPr>
          <w:rFonts w:ascii="Times New Roman" w:hAnsi="Times New Roman" w:cs="Times New Roman"/>
          <w:lang w:val="ru-RU"/>
        </w:rPr>
        <w:t xml:space="preserve">Аннулировать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10742" cy="1752637"/>
                <wp:effectExtent l="0" t="0" r="0" b="0"/>
                <wp:docPr id="107" name="Рисунок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" name="Рисунок 2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32348" cy="1761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339.4pt;height:138.0pt;mso-wrap-distance-left:0.0pt;mso-wrap-distance-top:0.0pt;mso-wrap-distance-right:0.0pt;mso-wrap-distance-bottom:0.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</w:t>
      </w:r>
      <w:r>
        <w:rPr>
          <w:sz w:val="24"/>
          <w:szCs w:val="24"/>
        </w:rPr>
        <w:t xml:space="preserve">к</w:t>
      </w:r>
      <w:r>
        <w:rPr>
          <w:sz w:val="24"/>
          <w:szCs w:val="24"/>
        </w:rPr>
        <w:t xml:space="preserve"> 147</w:t>
      </w:r>
      <w:r>
        <w:rPr>
          <w:sz w:val="24"/>
          <w:szCs w:val="24"/>
        </w:rPr>
        <w:t xml:space="preserve">. Аннулирование </w:t>
      </w:r>
      <w:r>
        <w:rPr>
          <w:sz w:val="24"/>
          <w:szCs w:val="24"/>
        </w:rPr>
        <w:t xml:space="preserve">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изменится на «</w:t>
      </w:r>
      <w:r>
        <w:rPr>
          <w:rFonts w:ascii="Times New Roman" w:hAnsi="Times New Roman" w:cs="Times New Roman"/>
          <w:i/>
          <w:lang w:val="ru-RU"/>
        </w:rPr>
        <w:t xml:space="preserve">Аннулирован</w:t>
      </w:r>
      <w:r>
        <w:rPr>
          <w:rFonts w:ascii="Times New Roman" w:hAnsi="Times New Roman" w:cs="Times New Roman"/>
          <w:i/>
          <w:lang w:val="ru-RU"/>
        </w:rPr>
        <w:t xml:space="preserve">ный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аннулирование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произошло ошибочно, его можно восстановить. Для этого нажмите «</w:t>
      </w:r>
      <w:r>
        <w:rPr>
          <w:rFonts w:ascii="Times New Roman" w:hAnsi="Times New Roman" w:cs="Times New Roman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213360"/>
                <wp:effectExtent l="0" t="0" r="0" b="0"/>
                <wp:docPr id="108" name="Рисунок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19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9.6pt;height:16.8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lang w:val="ru-RU"/>
        </w:rPr>
        <w:t xml:space="preserve">» в конце строки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и выберите «</w:t>
      </w:r>
      <w:r>
        <w:rPr>
          <w:rFonts w:ascii="Times New Roman" w:hAnsi="Times New Roman" w:cs="Times New Roman"/>
          <w:lang w:val="ru-RU"/>
        </w:rPr>
        <w:t xml:space="preserve">Д</w:t>
      </w:r>
      <w:r>
        <w:rPr>
          <w:rFonts w:ascii="Times New Roman" w:hAnsi="Times New Roman" w:cs="Times New Roman"/>
          <w:lang w:val="ru-RU"/>
        </w:rPr>
        <w:t xml:space="preserve">еаннулировать</w:t>
      </w:r>
      <w:r>
        <w:rPr>
          <w:rFonts w:ascii="Times New Roman" w:hAnsi="Times New Roman" w:cs="Times New Roman"/>
          <w:lang w:val="ru-RU"/>
        </w:rPr>
        <w:t xml:space="preserve">»</w:t>
      </w:r>
      <w:r>
        <w:rPr>
          <w:rFonts w:ascii="Times New Roman" w:hAnsi="Times New Roman" w:cs="Times New Roman"/>
          <w:lang w:val="ru-RU"/>
        </w:rPr>
        <w:t xml:space="preserve">. Также действие доступно из формы самого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через кнопку «</w:t>
      </w:r>
      <w:r>
        <w:rPr>
          <w:rFonts w:ascii="Times New Roman" w:hAnsi="Times New Roman" w:cs="Times New Roman"/>
          <w:lang w:val="ru-RU"/>
        </w:rPr>
        <w:t xml:space="preserve">Деаннулировать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950610" cy="1875022"/>
                <wp:effectExtent l="0" t="0" r="3175" b="0"/>
                <wp:docPr id="109" name="Рисунок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" name="Рисунок 2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10962101" cy="1876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862.3pt;height:147.6pt;mso-wrap-distance-left:0.0pt;mso-wrap-distance-top:0.0pt;mso-wrap-distance-right:0.0pt;mso-wrap-distance-bottom:0.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148</w:t>
      </w:r>
      <w:r>
        <w:rPr>
          <w:sz w:val="24"/>
          <w:szCs w:val="24"/>
        </w:rPr>
        <w:t xml:space="preserve">. Кнопка </w:t>
      </w:r>
      <w:r>
        <w:rPr>
          <w:sz w:val="24"/>
          <w:szCs w:val="24"/>
        </w:rPr>
        <w:t xml:space="preserve">деаннулирования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открывшемся окне укажите причину восстановления и нажмите «</w:t>
      </w:r>
      <w:r>
        <w:rPr>
          <w:rFonts w:ascii="Times New Roman" w:hAnsi="Times New Roman" w:cs="Times New Roman"/>
          <w:lang w:val="ru-RU"/>
        </w:rPr>
        <w:t xml:space="preserve">Восстановить</w:t>
      </w:r>
      <w:r>
        <w:rPr>
          <w:rFonts w:ascii="Times New Roman" w:hAnsi="Times New Roman" w:cs="Times New Roman"/>
          <w:lang w:val="ru-RU"/>
        </w:rPr>
        <w:t xml:space="preserve">»:</w:t>
      </w:r>
      <w:r/>
    </w:p>
    <w:p>
      <w:pPr>
        <w:ind w:firstLine="720"/>
        <w:jc w:val="center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90580" cy="1760806"/>
                <wp:effectExtent l="0" t="0" r="0" b="0"/>
                <wp:docPr id="110" name="Рисунок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" name="Рисунок 2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4416878" cy="1771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345.7pt;height:138.6pt;mso-wrap-distance-left:0.0pt;mso-wrap-distance-top:0.0pt;mso-wrap-distance-right:0.0pt;mso-wrap-distance-bottom:0.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72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Рисунок</w:t>
      </w:r>
      <w:r>
        <w:rPr>
          <w:sz w:val="24"/>
          <w:szCs w:val="24"/>
        </w:rPr>
        <w:t xml:space="preserve"> 149</w:t>
      </w:r>
      <w:r>
        <w:rPr>
          <w:sz w:val="24"/>
          <w:szCs w:val="24"/>
        </w:rPr>
        <w:t xml:space="preserve">. Восстановление </w:t>
      </w:r>
      <w:r>
        <w:rPr>
          <w:sz w:val="24"/>
          <w:szCs w:val="24"/>
        </w:rPr>
        <w:t xml:space="preserve">возврата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обработки статус </w:t>
      </w:r>
      <w:r>
        <w:rPr>
          <w:rFonts w:ascii="Times New Roman" w:hAnsi="Times New Roman" w:cs="Times New Roman"/>
          <w:lang w:val="ru-RU"/>
        </w:rPr>
        <w:t xml:space="preserve">возврата</w:t>
      </w:r>
      <w:r>
        <w:rPr>
          <w:rFonts w:ascii="Times New Roman" w:hAnsi="Times New Roman" w:cs="Times New Roman"/>
          <w:lang w:val="ru-RU"/>
        </w:rPr>
        <w:t xml:space="preserve"> изменится на «</w:t>
      </w:r>
      <w:r>
        <w:rPr>
          <w:rFonts w:ascii="Times New Roman" w:hAnsi="Times New Roman" w:cs="Times New Roman"/>
          <w:i/>
          <w:lang w:val="ru-RU"/>
        </w:rPr>
        <w:t xml:space="preserve">Загруженный</w:t>
      </w:r>
      <w:r>
        <w:rPr>
          <w:rFonts w:ascii="Times New Roman" w:hAnsi="Times New Roman" w:cs="Times New Roman"/>
          <w:lang w:val="ru-RU"/>
        </w:rPr>
        <w:t xml:space="preserve">».</w:t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pStyle w:val="724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</w:r>
      <w:r/>
    </w:p>
    <w:p>
      <w:pPr>
        <w:ind w:firstLine="720"/>
        <w:spacing w:line="360" w:lineRule="auto"/>
      </w:pPr>
      <w:r/>
      <w:r/>
    </w:p>
    <w:sectPr>
      <w:footerReference w:type="default" r:id="rId9"/>
      <w:footnotePr/>
      <w:endnotePr/>
      <w:type w:val="nextPage"/>
      <w:pgSz w:w="12240" w:h="15840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egoe UI">
    <w:panose1 w:val="020B0502040504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565604423"/>
      <w:docPartObj>
        <w:docPartGallery w:val="Page Numbers (Bottom of Page)"/>
        <w:docPartUnique w:val="true"/>
      </w:docPartObj>
      <w:rPr/>
    </w:sdtPr>
    <w:sdtContent>
      <w:p>
        <w:pPr>
          <w:pStyle w:val="74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  <w:p>
    <w:pPr>
      <w:pStyle w:val="74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54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pStyle w:val="728"/>
      <w:isLgl w:val="false"/>
      <w:suff w:val="tab"/>
      <w:lvlText w:val="%1"/>
      <w:lvlJc w:val="left"/>
      <w:pPr>
        <w:ind w:left="360" w:hanging="360"/>
      </w:pPr>
      <w:rPr>
        <w:rFonts w:hint="default"/>
        <w:b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pStyle w:val="726"/>
      <w:isLgl w:val="false"/>
      <w:suff w:val="space"/>
      <w:lvlText w:val="%1.%2"/>
      <w:lvlJc w:val="left"/>
      <w:pPr>
        <w:ind w:left="568" w:firstLine="0"/>
      </w:pPr>
      <w:rPr>
        <w:rFonts w:hint="default" w:ascii="Times New Roman" w:hAnsi="Times New Roman" w:cs="Times New Roman"/>
        <w:b/>
        <w:color w:val="000000"/>
        <w:spacing w:val="0"/>
        <w:position w:val="0"/>
        <w:sz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725"/>
      <w:isLgl w:val="false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54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2"/>
  </w:num>
  <w:num w:numId="10">
    <w:abstractNumId w:val="19"/>
  </w:num>
  <w:num w:numId="11">
    <w:abstractNumId w:val="3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8"/>
  </w:num>
  <w:num w:numId="18">
    <w:abstractNumId w:val="5"/>
  </w:num>
  <w:num w:numId="19">
    <w:abstractNumId w:val="10"/>
  </w:num>
  <w:num w:numId="20">
    <w:abstractNumId w:val="9"/>
  </w:num>
  <w:num w:numId="21">
    <w:abstractNumId w:val="0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11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719"/>
    <w:link w:val="718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7"/>
    <w:next w:val="717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7"/>
    <w:next w:val="717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7"/>
    <w:next w:val="717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7"/>
    <w:next w:val="717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7"/>
    <w:next w:val="717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7"/>
    <w:next w:val="717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7"/>
    <w:next w:val="717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7"/>
    <w:next w:val="717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7"/>
    <w:next w:val="717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9"/>
    <w:link w:val="33"/>
    <w:uiPriority w:val="10"/>
    <w:rPr>
      <w:sz w:val="48"/>
      <w:szCs w:val="48"/>
    </w:rPr>
  </w:style>
  <w:style w:type="paragraph" w:styleId="35">
    <w:name w:val="Subtitle"/>
    <w:basedOn w:val="717"/>
    <w:next w:val="717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9"/>
    <w:link w:val="35"/>
    <w:uiPriority w:val="11"/>
    <w:rPr>
      <w:sz w:val="24"/>
      <w:szCs w:val="24"/>
    </w:rPr>
  </w:style>
  <w:style w:type="paragraph" w:styleId="37">
    <w:name w:val="Quote"/>
    <w:basedOn w:val="717"/>
    <w:next w:val="717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7"/>
    <w:next w:val="717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19"/>
    <w:link w:val="741"/>
    <w:uiPriority w:val="99"/>
  </w:style>
  <w:style w:type="character" w:styleId="44">
    <w:name w:val="Footer Char"/>
    <w:basedOn w:val="719"/>
    <w:link w:val="743"/>
    <w:uiPriority w:val="99"/>
  </w:style>
  <w:style w:type="character" w:styleId="46">
    <w:name w:val="Caption Char"/>
    <w:basedOn w:val="722"/>
    <w:link w:val="743"/>
    <w:uiPriority w:val="99"/>
  </w:style>
  <w:style w:type="table" w:styleId="47">
    <w:name w:val="Table Grid"/>
    <w:basedOn w:val="72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2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717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9"/>
    <w:uiPriority w:val="99"/>
    <w:unhideWhenUsed/>
    <w:rPr>
      <w:vertAlign w:val="superscript"/>
    </w:rPr>
  </w:style>
  <w:style w:type="paragraph" w:styleId="177">
    <w:name w:val="endnote text"/>
    <w:basedOn w:val="717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9"/>
    <w:uiPriority w:val="99"/>
    <w:semiHidden/>
    <w:unhideWhenUsed/>
    <w:rPr>
      <w:vertAlign w:val="superscript"/>
    </w:rPr>
  </w:style>
  <w:style w:type="paragraph" w:styleId="183">
    <w:name w:val="toc 4"/>
    <w:basedOn w:val="717"/>
    <w:next w:val="717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7"/>
    <w:next w:val="717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7"/>
    <w:next w:val="717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7"/>
    <w:next w:val="717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7"/>
    <w:next w:val="717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7"/>
    <w:next w:val="717"/>
    <w:uiPriority w:val="39"/>
    <w:unhideWhenUsed/>
    <w:pPr>
      <w:ind w:left="2268" w:right="0" w:firstLine="0"/>
      <w:spacing w:after="57"/>
    </w:pPr>
  </w:style>
  <w:style w:type="paragraph" w:styleId="190">
    <w:name w:val="table of figures"/>
    <w:basedOn w:val="717"/>
    <w:next w:val="717"/>
    <w:uiPriority w:val="99"/>
    <w:unhideWhenUsed/>
    <w:pPr>
      <w:spacing w:after="0" w:afterAutospacing="0"/>
    </w:pPr>
  </w:style>
  <w:style w:type="paragraph" w:styleId="717" w:default="1">
    <w:name w:val="Normal"/>
    <w:qFormat/>
    <w:pPr>
      <w:jc w:val="both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718">
    <w:name w:val="Heading 1"/>
    <w:basedOn w:val="717"/>
    <w:next w:val="717"/>
    <w:link w:val="735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719" w:default="1">
    <w:name w:val="Default Paragraph Font"/>
    <w:uiPriority w:val="1"/>
    <w:semiHidden/>
    <w:unhideWhenUsed/>
  </w:style>
  <w:style w:type="table" w:styleId="72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1" w:default="1">
    <w:name w:val="No List"/>
    <w:uiPriority w:val="99"/>
    <w:semiHidden/>
    <w:unhideWhenUsed/>
  </w:style>
  <w:style w:type="paragraph" w:styleId="722">
    <w:name w:val="Caption"/>
    <w:basedOn w:val="717"/>
    <w:next w:val="717"/>
    <w:qFormat/>
    <w:pPr>
      <w:jc w:val="center"/>
      <w:spacing w:line="360" w:lineRule="auto"/>
    </w:pPr>
    <w:rPr>
      <w:bCs/>
      <w:sz w:val="20"/>
      <w:szCs w:val="20"/>
    </w:rPr>
  </w:style>
  <w:style w:type="character" w:styleId="723" w:customStyle="1">
    <w:name w:val="_Основной с красной строки Знак"/>
    <w:link w:val="724"/>
    <w:qFormat/>
    <w:rPr>
      <w:sz w:val="24"/>
      <w:szCs w:val="24"/>
    </w:rPr>
  </w:style>
  <w:style w:type="paragraph" w:styleId="724" w:customStyle="1">
    <w:name w:val="_Основной с красной строки"/>
    <w:basedOn w:val="717"/>
    <w:link w:val="723"/>
    <w:qFormat/>
    <w:pPr>
      <w:ind w:firstLine="709"/>
      <w:spacing w:line="360" w:lineRule="auto"/>
    </w:pPr>
    <w:rPr>
      <w:rFonts w:asciiTheme="minorHAnsi" w:hAnsiTheme="minorHAnsi" w:eastAsiaTheme="minorHAnsi" w:cstheme="minorBidi"/>
      <w:lang w:val="en-US" w:eastAsia="en-US"/>
    </w:rPr>
  </w:style>
  <w:style w:type="paragraph" w:styleId="725" w:customStyle="1">
    <w:name w:val="Заголовок три"/>
    <w:basedOn w:val="717"/>
    <w:link w:val="727"/>
    <w:qFormat/>
    <w:pPr>
      <w:numPr>
        <w:ilvl w:val="2"/>
        <w:numId w:val="1"/>
      </w:numPr>
      <w:keepNext/>
      <w:spacing w:before="120" w:after="120" w:line="360" w:lineRule="auto"/>
      <w:widowControl w:val="off"/>
      <w:outlineLvl w:val="2"/>
    </w:pPr>
    <w:rPr>
      <w:b/>
      <w:bCs/>
    </w:rPr>
  </w:style>
  <w:style w:type="paragraph" w:styleId="726" w:customStyle="1">
    <w:name w:val="заголовок два"/>
    <w:basedOn w:val="717"/>
    <w:link w:val="729"/>
    <w:qFormat/>
    <w:pPr>
      <w:numPr>
        <w:ilvl w:val="1"/>
        <w:numId w:val="1"/>
      </w:numPr>
      <w:keepNext/>
      <w:spacing w:before="120" w:after="120" w:line="360" w:lineRule="auto"/>
      <w:widowControl w:val="off"/>
      <w:outlineLvl w:val="1"/>
    </w:pPr>
    <w:rPr>
      <w:b/>
      <w:bCs/>
      <w:iCs/>
      <w:sz w:val="28"/>
      <w:szCs w:val="28"/>
    </w:rPr>
  </w:style>
  <w:style w:type="character" w:styleId="727" w:customStyle="1">
    <w:name w:val="Заголовок три Знак"/>
    <w:link w:val="725"/>
    <w:rPr>
      <w:rFonts w:ascii="Times New Roman" w:hAnsi="Times New Roman" w:eastAsia="Times New Roman" w:cs="Times New Roman"/>
      <w:b/>
      <w:bCs/>
      <w:sz w:val="24"/>
      <w:szCs w:val="24"/>
      <w:lang w:val="ru-RU"/>
    </w:rPr>
  </w:style>
  <w:style w:type="paragraph" w:styleId="728" w:customStyle="1">
    <w:name w:val="заголовок один"/>
    <w:basedOn w:val="717"/>
    <w:link w:val="730"/>
    <w:qFormat/>
    <w:pPr>
      <w:numPr>
        <w:numId w:val="1"/>
      </w:numPr>
      <w:jc w:val="left"/>
      <w:keepLines/>
      <w:keepNext/>
      <w:pageBreakBefore/>
      <w:spacing w:after="120" w:line="360" w:lineRule="auto"/>
      <w:shd w:val="clear" w:color="auto" w:fill="ffffff"/>
      <w:outlineLvl w:val="0"/>
    </w:pPr>
    <w:rPr>
      <w:b/>
      <w:bCs/>
      <w:caps/>
      <w:sz w:val="32"/>
      <w:szCs w:val="32"/>
    </w:rPr>
  </w:style>
  <w:style w:type="character" w:styleId="729" w:customStyle="1">
    <w:name w:val="заголовок два Знак"/>
    <w:link w:val="726"/>
    <w:rPr>
      <w:rFonts w:ascii="Times New Roman" w:hAnsi="Times New Roman" w:eastAsia="Times New Roman" w:cs="Times New Roman"/>
      <w:b/>
      <w:bCs/>
      <w:iCs/>
      <w:sz w:val="28"/>
      <w:szCs w:val="28"/>
      <w:lang w:val="ru-RU"/>
    </w:rPr>
  </w:style>
  <w:style w:type="character" w:styleId="730" w:customStyle="1">
    <w:name w:val="заголовок один Знак"/>
    <w:link w:val="728"/>
    <w:rPr>
      <w:rFonts w:ascii="Times New Roman" w:hAnsi="Times New Roman" w:eastAsia="Times New Roman" w:cs="Times New Roman"/>
      <w:b/>
      <w:bCs/>
      <w:caps/>
      <w:sz w:val="32"/>
      <w:szCs w:val="32"/>
      <w:shd w:val="clear" w:color="auto" w:fill="ffffff"/>
      <w:lang w:val="ru-RU"/>
    </w:rPr>
  </w:style>
  <w:style w:type="paragraph" w:styleId="731">
    <w:name w:val="List Paragraph"/>
    <w:basedOn w:val="717"/>
    <w:link w:val="732"/>
    <w:uiPriority w:val="34"/>
    <w:qFormat/>
    <w:pPr>
      <w:contextualSpacing/>
      <w:ind w:left="720"/>
      <w:jc w:val="left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character" w:styleId="732" w:customStyle="1">
    <w:name w:val="Абзац списка Знак"/>
    <w:link w:val="731"/>
    <w:uiPriority w:val="34"/>
    <w:rPr>
      <w:rFonts w:ascii="Calibri" w:hAnsi="Calibri" w:eastAsia="Calibri" w:cs="Times New Roman"/>
      <w:lang w:val="ru-RU"/>
    </w:rPr>
  </w:style>
  <w:style w:type="paragraph" w:styleId="733">
    <w:name w:val="Balloon Text"/>
    <w:basedOn w:val="717"/>
    <w:link w:val="734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734" w:customStyle="1">
    <w:name w:val="Текст выноски Знак"/>
    <w:basedOn w:val="719"/>
    <w:link w:val="733"/>
    <w:uiPriority w:val="99"/>
    <w:semiHidden/>
    <w:rPr>
      <w:rFonts w:ascii="Segoe UI" w:hAnsi="Segoe UI" w:eastAsia="Times New Roman" w:cs="Segoe UI"/>
      <w:sz w:val="18"/>
      <w:szCs w:val="18"/>
      <w:lang w:val="ru-RU" w:eastAsia="ru-RU"/>
    </w:rPr>
  </w:style>
  <w:style w:type="character" w:styleId="735" w:customStyle="1">
    <w:name w:val="Заголовок 1 Знак"/>
    <w:basedOn w:val="719"/>
    <w:link w:val="718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ru-RU" w:eastAsia="ru-RU"/>
    </w:rPr>
  </w:style>
  <w:style w:type="paragraph" w:styleId="736">
    <w:name w:val="TOC Heading"/>
    <w:basedOn w:val="718"/>
    <w:next w:val="717"/>
    <w:uiPriority w:val="39"/>
    <w:unhideWhenUsed/>
    <w:qFormat/>
    <w:pPr>
      <w:jc w:val="left"/>
      <w:spacing w:line="259" w:lineRule="auto"/>
      <w:outlineLvl w:val="9"/>
    </w:pPr>
  </w:style>
  <w:style w:type="paragraph" w:styleId="737">
    <w:name w:val="toc 1"/>
    <w:basedOn w:val="717"/>
    <w:next w:val="717"/>
    <w:uiPriority w:val="39"/>
    <w:unhideWhenUsed/>
    <w:pPr>
      <w:spacing w:after="100"/>
    </w:pPr>
  </w:style>
  <w:style w:type="paragraph" w:styleId="738">
    <w:name w:val="toc 2"/>
    <w:basedOn w:val="717"/>
    <w:next w:val="717"/>
    <w:uiPriority w:val="39"/>
    <w:unhideWhenUsed/>
    <w:pPr>
      <w:ind w:left="240"/>
      <w:spacing w:after="100"/>
    </w:pPr>
  </w:style>
  <w:style w:type="paragraph" w:styleId="739">
    <w:name w:val="toc 3"/>
    <w:basedOn w:val="717"/>
    <w:next w:val="717"/>
    <w:uiPriority w:val="39"/>
    <w:unhideWhenUsed/>
    <w:pPr>
      <w:ind w:left="480"/>
      <w:spacing w:after="100"/>
    </w:pPr>
  </w:style>
  <w:style w:type="character" w:styleId="740">
    <w:name w:val="Hyperlink"/>
    <w:basedOn w:val="719"/>
    <w:uiPriority w:val="99"/>
    <w:unhideWhenUsed/>
    <w:rPr>
      <w:color w:val="0563c1" w:themeColor="hyperlink"/>
      <w:u w:val="single"/>
    </w:rPr>
  </w:style>
  <w:style w:type="paragraph" w:styleId="741">
    <w:name w:val="Header"/>
    <w:basedOn w:val="717"/>
    <w:link w:val="74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42" w:customStyle="1">
    <w:name w:val="Верхний колонтитул Знак"/>
    <w:basedOn w:val="719"/>
    <w:link w:val="741"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743">
    <w:name w:val="Footer"/>
    <w:basedOn w:val="717"/>
    <w:link w:val="74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44" w:customStyle="1">
    <w:name w:val="Нижний колонтитул Знак"/>
    <w:basedOn w:val="719"/>
    <w:link w:val="743"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jp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C4501-D103-4E32-AE3A-5553B312A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5</cp:revision>
  <dcterms:created xsi:type="dcterms:W3CDTF">2021-04-14T05:31:00Z</dcterms:created>
  <dcterms:modified xsi:type="dcterms:W3CDTF">2024-06-04T08:06:18Z</dcterms:modified>
</cp:coreProperties>
</file>